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720" w:lineRule="auto"/>
        <w:jc w:val="center"/>
        <w:rPr>
          <w:rFonts w:ascii="黑体" w:hAnsi="Times New Roman" w:eastAsia="黑体" w:cs="Times New Roman"/>
          <w:b/>
          <w:sz w:val="52"/>
          <w:szCs w:val="52"/>
        </w:rPr>
      </w:pPr>
    </w:p>
    <w:p>
      <w:pPr>
        <w:spacing w:before="100" w:beforeAutospacing="1" w:after="100" w:afterAutospacing="1" w:line="720" w:lineRule="auto"/>
        <w:jc w:val="center"/>
        <w:rPr>
          <w:rFonts w:ascii="黑体" w:hAnsi="Times New Roman" w:eastAsia="黑体" w:cs="Times New Roman"/>
          <w:b/>
          <w:sz w:val="52"/>
          <w:szCs w:val="52"/>
        </w:rPr>
      </w:pPr>
    </w:p>
    <w:p>
      <w:pPr>
        <w:spacing w:before="100" w:beforeAutospacing="1" w:after="100" w:afterAutospacing="1" w:line="720" w:lineRule="auto"/>
        <w:jc w:val="center"/>
        <w:rPr>
          <w:rFonts w:asciiTheme="majorEastAsia" w:hAnsiTheme="majorEastAsia" w:eastAsiaTheme="majorEastAsia" w:cstheme="majorEastAsia"/>
          <w:b/>
          <w:sz w:val="52"/>
          <w:szCs w:val="52"/>
        </w:rPr>
      </w:pPr>
      <w:r>
        <w:rPr>
          <w:rFonts w:hint="eastAsia" w:asciiTheme="majorEastAsia" w:hAnsiTheme="majorEastAsia" w:eastAsiaTheme="majorEastAsia" w:cstheme="majorEastAsia"/>
          <w:b/>
          <w:sz w:val="52"/>
          <w:szCs w:val="52"/>
        </w:rPr>
        <w:t>湖南省物流降本增效综合改革试点工作方案</w:t>
      </w:r>
    </w:p>
    <w:p>
      <w:pPr>
        <w:spacing w:before="100" w:beforeAutospacing="1" w:after="100" w:afterAutospacing="1" w:line="720" w:lineRule="auto"/>
        <w:jc w:val="center"/>
        <w:rPr>
          <w:rFonts w:ascii="仿宋_GB2312" w:hAnsi="仿宋_GB2312" w:eastAsia="仿宋_GB2312" w:cs="仿宋_GB2312"/>
          <w:b/>
          <w:sz w:val="44"/>
          <w:szCs w:val="52"/>
        </w:rPr>
      </w:pPr>
      <w:r>
        <w:rPr>
          <w:rFonts w:hint="eastAsia" w:ascii="仿宋_GB2312" w:hAnsi="仿宋_GB2312" w:eastAsia="仿宋_GB2312" w:cs="仿宋_GB2312"/>
          <w:b/>
          <w:sz w:val="44"/>
          <w:szCs w:val="52"/>
        </w:rPr>
        <w:t>（征求意见稿）</w:t>
      </w:r>
    </w:p>
    <w:p/>
    <w:p/>
    <w:p/>
    <w:p/>
    <w:p/>
    <w:p/>
    <w:p/>
    <w:p/>
    <w:p/>
    <w:p/>
    <w:p/>
    <w:p/>
    <w:p/>
    <w:p/>
    <w:p/>
    <w:p/>
    <w:p>
      <w:pPr>
        <w:jc w:val="center"/>
        <w:rPr>
          <w:rFonts w:ascii="Times New Roman" w:hAnsi="Times New Roman" w:eastAsia="黑体" w:cs="Times New Roman"/>
          <w:b/>
          <w:sz w:val="36"/>
          <w:szCs w:val="24"/>
        </w:rPr>
      </w:pPr>
      <w:r>
        <w:rPr>
          <w:rFonts w:hint="eastAsia" w:ascii="Times New Roman" w:hAnsi="Times New Roman" w:eastAsia="黑体" w:cs="Times New Roman"/>
          <w:b/>
          <w:sz w:val="36"/>
          <w:szCs w:val="24"/>
        </w:rPr>
        <w:t>湖南省发展和改革委员会</w:t>
      </w:r>
    </w:p>
    <w:p>
      <w:pPr>
        <w:jc w:val="center"/>
        <w:rPr>
          <w:rFonts w:ascii="Times New Roman" w:hAnsi="Times New Roman" w:eastAsia="黑体" w:cs="Times New Roman"/>
          <w:b/>
          <w:sz w:val="36"/>
          <w:szCs w:val="24"/>
        </w:rPr>
      </w:pPr>
      <w:r>
        <w:rPr>
          <w:rFonts w:hint="eastAsia" w:ascii="Times New Roman" w:hAnsi="Times New Roman" w:eastAsia="黑体" w:cs="Times New Roman"/>
          <w:b/>
          <w:sz w:val="36"/>
          <w:szCs w:val="24"/>
        </w:rPr>
        <w:t>2019年4月</w:t>
      </w:r>
    </w:p>
    <w:p>
      <w:pPr>
        <w:sectPr>
          <w:footerReference r:id="rId3" w:type="default"/>
          <w:pgSz w:w="11906" w:h="16838"/>
          <w:pgMar w:top="1440" w:right="1800" w:bottom="1440" w:left="1800" w:header="851" w:footer="992" w:gutter="0"/>
          <w:pgNumType w:start="1"/>
          <w:cols w:space="425" w:num="1"/>
          <w:docGrid w:type="lines" w:linePitch="312" w:charSpace="0"/>
        </w:sectPr>
      </w:pPr>
    </w:p>
    <w:p>
      <w:pPr>
        <w:jc w:val="center"/>
        <w:rPr>
          <w:b/>
          <w:sz w:val="40"/>
        </w:rPr>
      </w:pPr>
      <w:r>
        <w:rPr>
          <w:rFonts w:hint="eastAsia"/>
          <w:b/>
          <w:sz w:val="40"/>
        </w:rPr>
        <w:t xml:space="preserve">目 </w:t>
      </w:r>
      <w:r>
        <w:rPr>
          <w:b/>
          <w:sz w:val="40"/>
        </w:rPr>
        <w:t xml:space="preserve"> </w:t>
      </w:r>
      <w:r>
        <w:rPr>
          <w:rFonts w:hint="eastAsia"/>
          <w:b/>
          <w:sz w:val="40"/>
        </w:rPr>
        <w:t>录</w:t>
      </w:r>
    </w:p>
    <w:p>
      <w:pPr>
        <w:jc w:val="center"/>
        <w:rPr>
          <w:b/>
          <w:sz w:val="40"/>
        </w:rPr>
      </w:pPr>
    </w:p>
    <w:p>
      <w:pPr>
        <w:pStyle w:val="12"/>
        <w:rPr>
          <w:sz w:val="28"/>
        </w:rPr>
      </w:pPr>
      <w:r>
        <w:rPr>
          <w:sz w:val="36"/>
        </w:rPr>
        <w:fldChar w:fldCharType="begin"/>
      </w:r>
      <w:r>
        <w:rPr>
          <w:sz w:val="36"/>
        </w:rPr>
        <w:instrText xml:space="preserve"> TOC \o "1-2" \h \z \u </w:instrText>
      </w:r>
      <w:r>
        <w:rPr>
          <w:sz w:val="36"/>
        </w:rPr>
        <w:fldChar w:fldCharType="separate"/>
      </w:r>
      <w:r>
        <w:fldChar w:fldCharType="begin"/>
      </w:r>
      <w:r>
        <w:instrText xml:space="preserve"> HYPERLINK \l "_Toc7300056" </w:instrText>
      </w:r>
      <w:r>
        <w:fldChar w:fldCharType="separate"/>
      </w:r>
      <w:r>
        <w:rPr>
          <w:rStyle w:val="19"/>
          <w:rFonts w:ascii="黑体" w:hAnsi="黑体" w:eastAsia="黑体"/>
          <w:sz w:val="28"/>
        </w:rPr>
        <w:t>1.经济社会发展概况</w:t>
      </w:r>
      <w:r>
        <w:rPr>
          <w:sz w:val="28"/>
        </w:rPr>
        <w:tab/>
      </w:r>
      <w:r>
        <w:rPr>
          <w:sz w:val="28"/>
        </w:rPr>
        <w:fldChar w:fldCharType="begin"/>
      </w:r>
      <w:r>
        <w:rPr>
          <w:sz w:val="28"/>
        </w:rPr>
        <w:instrText xml:space="preserve"> PAGEREF _Toc7300056 \h </w:instrText>
      </w:r>
      <w:r>
        <w:rPr>
          <w:sz w:val="28"/>
        </w:rPr>
        <w:fldChar w:fldCharType="separate"/>
      </w:r>
      <w:r>
        <w:rPr>
          <w:sz w:val="28"/>
        </w:rPr>
        <w:t>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"_Toc7300057" </w:instrText>
      </w:r>
      <w:r>
        <w:fldChar w:fldCharType="separate"/>
      </w:r>
      <w:r>
        <w:rPr>
          <w:rStyle w:val="19"/>
          <w:rFonts w:ascii="楷体" w:hAnsi="楷体" w:eastAsia="楷体"/>
          <w:sz w:val="28"/>
        </w:rPr>
        <w:t>1.1基本概况</w:t>
      </w:r>
      <w:r>
        <w:rPr>
          <w:sz w:val="28"/>
        </w:rPr>
        <w:tab/>
      </w:r>
      <w:r>
        <w:rPr>
          <w:sz w:val="28"/>
        </w:rPr>
        <w:fldChar w:fldCharType="begin"/>
      </w:r>
      <w:r>
        <w:rPr>
          <w:sz w:val="28"/>
        </w:rPr>
        <w:instrText xml:space="preserve"> PAGEREF _Toc7300057 \h </w:instrText>
      </w:r>
      <w:r>
        <w:rPr>
          <w:sz w:val="28"/>
        </w:rPr>
        <w:fldChar w:fldCharType="separate"/>
      </w:r>
      <w:r>
        <w:rPr>
          <w:sz w:val="28"/>
        </w:rPr>
        <w:t>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"_Toc7300058" </w:instrText>
      </w:r>
      <w:r>
        <w:fldChar w:fldCharType="separate"/>
      </w:r>
      <w:r>
        <w:rPr>
          <w:rStyle w:val="19"/>
          <w:rFonts w:ascii="楷体" w:hAnsi="楷体" w:eastAsia="楷体"/>
          <w:sz w:val="28"/>
        </w:rPr>
        <w:t>1.2经济发展情况</w:t>
      </w:r>
      <w:r>
        <w:rPr>
          <w:sz w:val="28"/>
        </w:rPr>
        <w:tab/>
      </w:r>
      <w:r>
        <w:rPr>
          <w:sz w:val="28"/>
        </w:rPr>
        <w:fldChar w:fldCharType="begin"/>
      </w:r>
      <w:r>
        <w:rPr>
          <w:sz w:val="28"/>
        </w:rPr>
        <w:instrText xml:space="preserve"> PAGEREF _Toc7300058 \h </w:instrText>
      </w:r>
      <w:r>
        <w:rPr>
          <w:sz w:val="28"/>
        </w:rPr>
        <w:fldChar w:fldCharType="separate"/>
      </w:r>
      <w:r>
        <w:rPr>
          <w:sz w:val="28"/>
        </w:rPr>
        <w:t>2</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"_Toc7300059" </w:instrText>
      </w:r>
      <w:r>
        <w:fldChar w:fldCharType="separate"/>
      </w:r>
      <w:r>
        <w:rPr>
          <w:rStyle w:val="19"/>
          <w:rFonts w:ascii="楷体" w:hAnsi="楷体" w:eastAsia="楷体"/>
          <w:sz w:val="28"/>
        </w:rPr>
        <w:t>1.3主要产业园区及产业集群</w:t>
      </w:r>
      <w:r>
        <w:rPr>
          <w:sz w:val="28"/>
        </w:rPr>
        <w:tab/>
      </w:r>
      <w:r>
        <w:rPr>
          <w:sz w:val="28"/>
        </w:rPr>
        <w:fldChar w:fldCharType="begin"/>
      </w:r>
      <w:r>
        <w:rPr>
          <w:sz w:val="28"/>
        </w:rPr>
        <w:instrText xml:space="preserve"> PAGEREF _Toc7300059 \h </w:instrText>
      </w:r>
      <w:r>
        <w:rPr>
          <w:sz w:val="28"/>
        </w:rPr>
        <w:fldChar w:fldCharType="separate"/>
      </w:r>
      <w:r>
        <w:rPr>
          <w:sz w:val="28"/>
        </w:rPr>
        <w:t>10</w:t>
      </w:r>
      <w:r>
        <w:rPr>
          <w:sz w:val="28"/>
        </w:rPr>
        <w:fldChar w:fldCharType="end"/>
      </w:r>
      <w:r>
        <w:rPr>
          <w:sz w:val="28"/>
        </w:rPr>
        <w:fldChar w:fldCharType="end"/>
      </w:r>
    </w:p>
    <w:p>
      <w:pPr>
        <w:pStyle w:val="12"/>
        <w:rPr>
          <w:sz w:val="28"/>
        </w:rPr>
      </w:pPr>
      <w:r>
        <w:fldChar w:fldCharType="begin"/>
      </w:r>
      <w:r>
        <w:instrText xml:space="preserve"> HYPERLINK \l "_Toc7300060" </w:instrText>
      </w:r>
      <w:r>
        <w:fldChar w:fldCharType="separate"/>
      </w:r>
      <w:r>
        <w:rPr>
          <w:rStyle w:val="19"/>
          <w:rFonts w:ascii="黑体" w:hAnsi="黑体" w:eastAsia="黑体"/>
          <w:sz w:val="28"/>
        </w:rPr>
        <w:t>2.物流业发展概况</w:t>
      </w:r>
      <w:r>
        <w:rPr>
          <w:sz w:val="28"/>
        </w:rPr>
        <w:tab/>
      </w:r>
      <w:r>
        <w:rPr>
          <w:sz w:val="28"/>
        </w:rPr>
        <w:fldChar w:fldCharType="begin"/>
      </w:r>
      <w:r>
        <w:rPr>
          <w:sz w:val="28"/>
        </w:rPr>
        <w:instrText xml:space="preserve"> PAGEREF _Toc7300060 \h </w:instrText>
      </w:r>
      <w:r>
        <w:rPr>
          <w:sz w:val="28"/>
        </w:rPr>
        <w:fldChar w:fldCharType="separate"/>
      </w:r>
      <w:r>
        <w:rPr>
          <w:sz w:val="28"/>
        </w:rPr>
        <w:t>15</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"_Toc7300061" </w:instrText>
      </w:r>
      <w:r>
        <w:fldChar w:fldCharType="separate"/>
      </w:r>
      <w:r>
        <w:rPr>
          <w:rStyle w:val="19"/>
          <w:rFonts w:ascii="楷体" w:hAnsi="楷体" w:eastAsia="楷体"/>
          <w:sz w:val="28"/>
        </w:rPr>
        <w:t>2.1社会物流总额</w:t>
      </w:r>
      <w:r>
        <w:rPr>
          <w:sz w:val="28"/>
        </w:rPr>
        <w:tab/>
      </w:r>
      <w:r>
        <w:rPr>
          <w:sz w:val="28"/>
        </w:rPr>
        <w:fldChar w:fldCharType="begin"/>
      </w:r>
      <w:r>
        <w:rPr>
          <w:sz w:val="28"/>
        </w:rPr>
        <w:instrText xml:space="preserve"> PAGEREF _Toc7300061 \h </w:instrText>
      </w:r>
      <w:r>
        <w:rPr>
          <w:sz w:val="28"/>
        </w:rPr>
        <w:fldChar w:fldCharType="separate"/>
      </w:r>
      <w:r>
        <w:rPr>
          <w:sz w:val="28"/>
        </w:rPr>
        <w:t>15</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"_Toc7300062" </w:instrText>
      </w:r>
      <w:r>
        <w:fldChar w:fldCharType="separate"/>
      </w:r>
      <w:r>
        <w:rPr>
          <w:rStyle w:val="19"/>
          <w:rFonts w:ascii="楷体" w:hAnsi="楷体" w:eastAsia="楷体"/>
          <w:sz w:val="28"/>
        </w:rPr>
        <w:t>2.2物流基础设施建设情况</w:t>
      </w:r>
      <w:r>
        <w:rPr>
          <w:sz w:val="28"/>
        </w:rPr>
        <w:tab/>
      </w:r>
      <w:r>
        <w:rPr>
          <w:sz w:val="28"/>
        </w:rPr>
        <w:fldChar w:fldCharType="begin"/>
      </w:r>
      <w:r>
        <w:rPr>
          <w:sz w:val="28"/>
        </w:rPr>
        <w:instrText xml:space="preserve"> PAGEREF _Toc7300062 \h </w:instrText>
      </w:r>
      <w:r>
        <w:rPr>
          <w:sz w:val="28"/>
        </w:rPr>
        <w:fldChar w:fldCharType="separate"/>
      </w:r>
      <w:r>
        <w:rPr>
          <w:sz w:val="28"/>
        </w:rPr>
        <w:t>16</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"_Toc7300063" </w:instrText>
      </w:r>
      <w:r>
        <w:fldChar w:fldCharType="separate"/>
      </w:r>
      <w:r>
        <w:rPr>
          <w:rStyle w:val="19"/>
          <w:rFonts w:ascii="楷体" w:hAnsi="楷体" w:eastAsia="楷体"/>
          <w:sz w:val="28"/>
        </w:rPr>
        <w:t>2.3物流企业发展情况</w:t>
      </w:r>
      <w:r>
        <w:rPr>
          <w:sz w:val="28"/>
        </w:rPr>
        <w:tab/>
      </w:r>
      <w:r>
        <w:rPr>
          <w:sz w:val="28"/>
        </w:rPr>
        <w:fldChar w:fldCharType="begin"/>
      </w:r>
      <w:r>
        <w:rPr>
          <w:sz w:val="28"/>
        </w:rPr>
        <w:instrText xml:space="preserve"> PAGEREF _Toc7300063 \h </w:instrText>
      </w:r>
      <w:r>
        <w:rPr>
          <w:sz w:val="28"/>
        </w:rPr>
        <w:fldChar w:fldCharType="separate"/>
      </w:r>
      <w:r>
        <w:rPr>
          <w:sz w:val="28"/>
        </w:rPr>
        <w:t>27</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"_Toc7300064" </w:instrText>
      </w:r>
      <w:r>
        <w:fldChar w:fldCharType="separate"/>
      </w:r>
      <w:r>
        <w:rPr>
          <w:rStyle w:val="19"/>
          <w:rFonts w:ascii="楷体" w:hAnsi="楷体" w:eastAsia="楷体"/>
          <w:sz w:val="28"/>
        </w:rPr>
        <w:t>2.4物流业发展相关政策</w:t>
      </w:r>
      <w:r>
        <w:rPr>
          <w:sz w:val="28"/>
        </w:rPr>
        <w:tab/>
      </w:r>
      <w:r>
        <w:rPr>
          <w:sz w:val="28"/>
        </w:rPr>
        <w:fldChar w:fldCharType="begin"/>
      </w:r>
      <w:r>
        <w:rPr>
          <w:sz w:val="28"/>
        </w:rPr>
        <w:instrText xml:space="preserve"> PAGEREF _Toc7300064 \h </w:instrText>
      </w:r>
      <w:r>
        <w:rPr>
          <w:sz w:val="28"/>
        </w:rPr>
        <w:fldChar w:fldCharType="separate"/>
      </w:r>
      <w:r>
        <w:rPr>
          <w:sz w:val="28"/>
        </w:rPr>
        <w:t>28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"_Toc7300065" </w:instrText>
      </w:r>
      <w:r>
        <w:fldChar w:fldCharType="separate"/>
      </w:r>
      <w:r>
        <w:rPr>
          <w:rStyle w:val="19"/>
          <w:rFonts w:ascii="楷体" w:hAnsi="楷体" w:eastAsia="楷体"/>
          <w:sz w:val="28"/>
        </w:rPr>
        <w:t>2.5物流业发展特点</w:t>
      </w:r>
      <w:r>
        <w:rPr>
          <w:sz w:val="28"/>
        </w:rPr>
        <w:tab/>
      </w:r>
      <w:r>
        <w:rPr>
          <w:sz w:val="28"/>
        </w:rPr>
        <w:fldChar w:fldCharType="begin"/>
      </w:r>
      <w:r>
        <w:rPr>
          <w:sz w:val="28"/>
        </w:rPr>
        <w:instrText xml:space="preserve"> PAGEREF _Toc7300065 \h </w:instrText>
      </w:r>
      <w:r>
        <w:rPr>
          <w:sz w:val="28"/>
        </w:rPr>
        <w:fldChar w:fldCharType="separate"/>
      </w:r>
      <w:r>
        <w:rPr>
          <w:sz w:val="28"/>
        </w:rPr>
        <w:t>28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"_Toc7300066" </w:instrText>
      </w:r>
      <w:r>
        <w:fldChar w:fldCharType="separate"/>
      </w:r>
      <w:r>
        <w:rPr>
          <w:rStyle w:val="19"/>
          <w:rFonts w:ascii="楷体" w:hAnsi="楷体" w:eastAsia="楷体"/>
          <w:sz w:val="28"/>
        </w:rPr>
        <w:t>2.6物流业存在问题分析</w:t>
      </w:r>
      <w:r>
        <w:rPr>
          <w:sz w:val="28"/>
        </w:rPr>
        <w:tab/>
      </w:r>
      <w:r>
        <w:rPr>
          <w:sz w:val="28"/>
        </w:rPr>
        <w:fldChar w:fldCharType="begin"/>
      </w:r>
      <w:r>
        <w:rPr>
          <w:sz w:val="28"/>
        </w:rPr>
        <w:instrText xml:space="preserve"> PAGEREF _Toc7300066 \h </w:instrText>
      </w:r>
      <w:r>
        <w:rPr>
          <w:sz w:val="28"/>
        </w:rPr>
        <w:fldChar w:fldCharType="separate"/>
      </w:r>
      <w:r>
        <w:rPr>
          <w:sz w:val="28"/>
        </w:rPr>
        <w:t>33</w:t>
      </w:r>
      <w:r>
        <w:rPr>
          <w:sz w:val="28"/>
        </w:rPr>
        <w:fldChar w:fldCharType="end"/>
      </w:r>
      <w:r>
        <w:rPr>
          <w:sz w:val="28"/>
        </w:rPr>
        <w:fldChar w:fldCharType="end"/>
      </w:r>
    </w:p>
    <w:p>
      <w:pPr>
        <w:pStyle w:val="12"/>
        <w:rPr>
          <w:sz w:val="28"/>
        </w:rPr>
      </w:pPr>
      <w:r>
        <w:fldChar w:fldCharType="begin"/>
      </w:r>
      <w:r>
        <w:instrText xml:space="preserve"> HYPERLINK \l "_Toc7300067" </w:instrText>
      </w:r>
      <w:r>
        <w:fldChar w:fldCharType="separate"/>
      </w:r>
      <w:r>
        <w:rPr>
          <w:rStyle w:val="19"/>
          <w:rFonts w:ascii="黑体" w:hAnsi="黑体" w:eastAsia="黑体"/>
          <w:sz w:val="28"/>
        </w:rPr>
        <w:t>3.总体目标和推进计划</w:t>
      </w:r>
      <w:r>
        <w:rPr>
          <w:sz w:val="28"/>
        </w:rPr>
        <w:tab/>
      </w:r>
      <w:r>
        <w:rPr>
          <w:sz w:val="28"/>
        </w:rPr>
        <w:fldChar w:fldCharType="begin"/>
      </w:r>
      <w:r>
        <w:rPr>
          <w:sz w:val="28"/>
        </w:rPr>
        <w:instrText xml:space="preserve"> PAGEREF _Toc7300067 \h </w:instrText>
      </w:r>
      <w:r>
        <w:rPr>
          <w:sz w:val="28"/>
        </w:rPr>
        <w:fldChar w:fldCharType="separate"/>
      </w:r>
      <w:r>
        <w:rPr>
          <w:sz w:val="28"/>
        </w:rPr>
        <w:t>37</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"_Toc7300068" </w:instrText>
      </w:r>
      <w:r>
        <w:fldChar w:fldCharType="separate"/>
      </w:r>
      <w:r>
        <w:rPr>
          <w:rStyle w:val="19"/>
          <w:rFonts w:ascii="楷体" w:hAnsi="楷体" w:eastAsia="楷体"/>
          <w:sz w:val="28"/>
        </w:rPr>
        <w:t>3.1总体思路</w:t>
      </w:r>
      <w:r>
        <w:rPr>
          <w:sz w:val="28"/>
        </w:rPr>
        <w:tab/>
      </w:r>
      <w:r>
        <w:rPr>
          <w:sz w:val="28"/>
        </w:rPr>
        <w:fldChar w:fldCharType="begin"/>
      </w:r>
      <w:r>
        <w:rPr>
          <w:sz w:val="28"/>
        </w:rPr>
        <w:instrText xml:space="preserve"> PAGEREF _Toc7300068 \h </w:instrText>
      </w:r>
      <w:r>
        <w:rPr>
          <w:sz w:val="28"/>
        </w:rPr>
        <w:fldChar w:fldCharType="separate"/>
      </w:r>
      <w:r>
        <w:rPr>
          <w:sz w:val="28"/>
        </w:rPr>
        <w:t>37</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"_Toc7300069" </w:instrText>
      </w:r>
      <w:r>
        <w:fldChar w:fldCharType="separate"/>
      </w:r>
      <w:r>
        <w:rPr>
          <w:rStyle w:val="19"/>
          <w:rFonts w:ascii="楷体" w:hAnsi="楷体" w:eastAsia="楷体"/>
          <w:sz w:val="28"/>
        </w:rPr>
        <w:t>3.2基本原则</w:t>
      </w:r>
      <w:r>
        <w:rPr>
          <w:sz w:val="28"/>
        </w:rPr>
        <w:tab/>
      </w:r>
      <w:r>
        <w:rPr>
          <w:sz w:val="28"/>
        </w:rPr>
        <w:fldChar w:fldCharType="begin"/>
      </w:r>
      <w:r>
        <w:rPr>
          <w:sz w:val="28"/>
        </w:rPr>
        <w:instrText xml:space="preserve"> PAGEREF _Toc7300069 \h </w:instrText>
      </w:r>
      <w:r>
        <w:rPr>
          <w:sz w:val="28"/>
        </w:rPr>
        <w:fldChar w:fldCharType="separate"/>
      </w:r>
      <w:r>
        <w:rPr>
          <w:sz w:val="28"/>
        </w:rPr>
        <w:t>39</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"_Toc7300070" </w:instrText>
      </w:r>
      <w:r>
        <w:fldChar w:fldCharType="separate"/>
      </w:r>
      <w:r>
        <w:rPr>
          <w:rStyle w:val="19"/>
          <w:rFonts w:ascii="楷体" w:hAnsi="楷体" w:eastAsia="楷体"/>
          <w:sz w:val="28"/>
        </w:rPr>
        <w:t>3.3总体目标</w:t>
      </w:r>
      <w:r>
        <w:rPr>
          <w:sz w:val="28"/>
        </w:rPr>
        <w:tab/>
      </w:r>
      <w:r>
        <w:rPr>
          <w:sz w:val="28"/>
        </w:rPr>
        <w:fldChar w:fldCharType="begin"/>
      </w:r>
      <w:r>
        <w:rPr>
          <w:sz w:val="28"/>
        </w:rPr>
        <w:instrText xml:space="preserve"> PAGEREF _Toc7300070 \h </w:instrText>
      </w:r>
      <w:r>
        <w:rPr>
          <w:sz w:val="28"/>
        </w:rPr>
        <w:fldChar w:fldCharType="separate"/>
      </w:r>
      <w:r>
        <w:rPr>
          <w:sz w:val="28"/>
        </w:rPr>
        <w:t>40</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"_Toc7300071" </w:instrText>
      </w:r>
      <w:r>
        <w:fldChar w:fldCharType="separate"/>
      </w:r>
      <w:r>
        <w:rPr>
          <w:rStyle w:val="19"/>
          <w:rFonts w:ascii="楷体" w:hAnsi="楷体" w:eastAsia="楷体"/>
          <w:sz w:val="28"/>
        </w:rPr>
        <w:t>3.4实施步骤及预期成效</w:t>
      </w:r>
      <w:r>
        <w:rPr>
          <w:sz w:val="28"/>
        </w:rPr>
        <w:tab/>
      </w:r>
      <w:r>
        <w:rPr>
          <w:sz w:val="28"/>
        </w:rPr>
        <w:fldChar w:fldCharType="begin"/>
      </w:r>
      <w:r>
        <w:rPr>
          <w:sz w:val="28"/>
        </w:rPr>
        <w:instrText xml:space="preserve"> PAGEREF _Toc7300071 \h </w:instrText>
      </w:r>
      <w:r>
        <w:rPr>
          <w:sz w:val="28"/>
        </w:rPr>
        <w:fldChar w:fldCharType="separate"/>
      </w:r>
      <w:r>
        <w:rPr>
          <w:sz w:val="28"/>
        </w:rPr>
        <w:t>41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"_Toc7300072" </w:instrText>
      </w:r>
      <w:r>
        <w:fldChar w:fldCharType="separate"/>
      </w:r>
      <w:r>
        <w:rPr>
          <w:rStyle w:val="19"/>
          <w:rFonts w:ascii="楷体" w:hAnsi="楷体" w:eastAsia="楷体"/>
          <w:sz w:val="28"/>
        </w:rPr>
        <w:t>3.5拟开展的体制机制改革和政策创新</w:t>
      </w:r>
      <w:r>
        <w:rPr>
          <w:sz w:val="28"/>
        </w:rPr>
        <w:tab/>
      </w:r>
      <w:r>
        <w:rPr>
          <w:sz w:val="28"/>
        </w:rPr>
        <w:fldChar w:fldCharType="begin"/>
      </w:r>
      <w:r>
        <w:rPr>
          <w:sz w:val="28"/>
        </w:rPr>
        <w:instrText xml:space="preserve"> PAGEREF _Toc7300072 \h </w:instrText>
      </w:r>
      <w:r>
        <w:rPr>
          <w:sz w:val="28"/>
        </w:rPr>
        <w:fldChar w:fldCharType="separate"/>
      </w:r>
      <w:r>
        <w:rPr>
          <w:sz w:val="28"/>
        </w:rPr>
        <w:t>42</w:t>
      </w:r>
      <w:r>
        <w:rPr>
          <w:sz w:val="28"/>
        </w:rPr>
        <w:fldChar w:fldCharType="end"/>
      </w:r>
      <w:r>
        <w:rPr>
          <w:sz w:val="28"/>
        </w:rPr>
        <w:fldChar w:fldCharType="end"/>
      </w:r>
    </w:p>
    <w:p>
      <w:pPr>
        <w:pStyle w:val="12"/>
        <w:rPr>
          <w:sz w:val="28"/>
        </w:rPr>
      </w:pPr>
      <w:r>
        <w:fldChar w:fldCharType="begin"/>
      </w:r>
      <w:r>
        <w:instrText xml:space="preserve"> HYPERLINK \l "_Toc7300073" </w:instrText>
      </w:r>
      <w:r>
        <w:fldChar w:fldCharType="separate"/>
      </w:r>
      <w:r>
        <w:rPr>
          <w:rStyle w:val="19"/>
          <w:rFonts w:ascii="黑体" w:hAnsi="黑体" w:eastAsia="黑体"/>
          <w:sz w:val="28"/>
        </w:rPr>
        <w:t>4.试点主要任务</w:t>
      </w:r>
      <w:r>
        <w:rPr>
          <w:sz w:val="28"/>
        </w:rPr>
        <w:tab/>
      </w:r>
      <w:r>
        <w:rPr>
          <w:sz w:val="28"/>
        </w:rPr>
        <w:fldChar w:fldCharType="begin"/>
      </w:r>
      <w:r>
        <w:rPr>
          <w:sz w:val="28"/>
        </w:rPr>
        <w:instrText xml:space="preserve"> PAGEREF _Toc7300073 \h </w:instrText>
      </w:r>
      <w:r>
        <w:rPr>
          <w:sz w:val="28"/>
        </w:rPr>
        <w:fldChar w:fldCharType="separate"/>
      </w:r>
      <w:r>
        <w:rPr>
          <w:sz w:val="28"/>
        </w:rPr>
        <w:t>43</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"_Toc7300074" </w:instrText>
      </w:r>
      <w:r>
        <w:fldChar w:fldCharType="separate"/>
      </w:r>
      <w:r>
        <w:rPr>
          <w:rStyle w:val="19"/>
          <w:rFonts w:ascii="楷体" w:hAnsi="楷体" w:eastAsia="楷体"/>
          <w:sz w:val="28"/>
        </w:rPr>
        <w:t>4.1优化物流营商环境</w:t>
      </w:r>
      <w:r>
        <w:rPr>
          <w:sz w:val="28"/>
        </w:rPr>
        <w:tab/>
      </w:r>
      <w:r>
        <w:rPr>
          <w:sz w:val="28"/>
        </w:rPr>
        <w:fldChar w:fldCharType="begin"/>
      </w:r>
      <w:r>
        <w:rPr>
          <w:sz w:val="28"/>
        </w:rPr>
        <w:instrText xml:space="preserve"> PAGEREF _Toc7300074 \h </w:instrText>
      </w:r>
      <w:r>
        <w:rPr>
          <w:sz w:val="28"/>
        </w:rPr>
        <w:fldChar w:fldCharType="separate"/>
      </w:r>
      <w:r>
        <w:rPr>
          <w:sz w:val="28"/>
        </w:rPr>
        <w:t>43</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"_Toc7300075" </w:instrText>
      </w:r>
      <w:r>
        <w:fldChar w:fldCharType="separate"/>
      </w:r>
      <w:r>
        <w:rPr>
          <w:rStyle w:val="19"/>
          <w:rFonts w:ascii="楷体" w:hAnsi="楷体" w:eastAsia="楷体"/>
          <w:sz w:val="28"/>
        </w:rPr>
        <w:t>4.2鼓励物流技术创新</w:t>
      </w:r>
      <w:r>
        <w:rPr>
          <w:sz w:val="28"/>
        </w:rPr>
        <w:tab/>
      </w:r>
      <w:r>
        <w:rPr>
          <w:sz w:val="28"/>
        </w:rPr>
        <w:fldChar w:fldCharType="begin"/>
      </w:r>
      <w:r>
        <w:rPr>
          <w:sz w:val="28"/>
        </w:rPr>
        <w:instrText xml:space="preserve"> PAGEREF _Toc7300075 \h </w:instrText>
      </w:r>
      <w:r>
        <w:rPr>
          <w:sz w:val="28"/>
        </w:rPr>
        <w:fldChar w:fldCharType="separate"/>
      </w:r>
      <w:r>
        <w:rPr>
          <w:sz w:val="28"/>
        </w:rPr>
        <w:t>46</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"_Toc7300076" </w:instrText>
      </w:r>
      <w:r>
        <w:fldChar w:fldCharType="separate"/>
      </w:r>
      <w:r>
        <w:rPr>
          <w:rStyle w:val="19"/>
          <w:rFonts w:ascii="楷体" w:hAnsi="楷体" w:eastAsia="楷体"/>
          <w:sz w:val="28"/>
        </w:rPr>
        <w:t>4.3培育物流网络体系</w:t>
      </w:r>
      <w:r>
        <w:rPr>
          <w:sz w:val="28"/>
        </w:rPr>
        <w:tab/>
      </w:r>
      <w:r>
        <w:rPr>
          <w:sz w:val="28"/>
        </w:rPr>
        <w:fldChar w:fldCharType="begin"/>
      </w:r>
      <w:r>
        <w:rPr>
          <w:sz w:val="28"/>
        </w:rPr>
        <w:instrText xml:space="preserve"> PAGEREF _Toc7300076 \h </w:instrText>
      </w:r>
      <w:r>
        <w:rPr>
          <w:sz w:val="28"/>
        </w:rPr>
        <w:fldChar w:fldCharType="separate"/>
      </w:r>
      <w:r>
        <w:rPr>
          <w:sz w:val="28"/>
        </w:rPr>
        <w:t>48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"_Toc7300077" </w:instrText>
      </w:r>
      <w:r>
        <w:fldChar w:fldCharType="separate"/>
      </w:r>
      <w:r>
        <w:rPr>
          <w:rStyle w:val="19"/>
          <w:rFonts w:ascii="楷体" w:hAnsi="楷体" w:eastAsia="楷体"/>
          <w:sz w:val="28"/>
        </w:rPr>
        <w:t>4.2.4加快发展多式联运</w:t>
      </w:r>
      <w:r>
        <w:rPr>
          <w:sz w:val="28"/>
        </w:rPr>
        <w:tab/>
      </w:r>
      <w:r>
        <w:rPr>
          <w:sz w:val="28"/>
        </w:rPr>
        <w:fldChar w:fldCharType="begin"/>
      </w:r>
      <w:r>
        <w:rPr>
          <w:sz w:val="28"/>
        </w:rPr>
        <w:instrText xml:space="preserve"> PAGEREF _Toc7300077 \h </w:instrText>
      </w:r>
      <w:r>
        <w:rPr>
          <w:sz w:val="28"/>
        </w:rPr>
        <w:fldChar w:fldCharType="separate"/>
      </w:r>
      <w:r>
        <w:rPr>
          <w:sz w:val="28"/>
        </w:rPr>
        <w:t>51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"_Toc7300078" </w:instrText>
      </w:r>
      <w:r>
        <w:fldChar w:fldCharType="separate"/>
      </w:r>
      <w:r>
        <w:rPr>
          <w:rStyle w:val="19"/>
          <w:rFonts w:ascii="楷体" w:hAnsi="楷体" w:eastAsia="楷体"/>
          <w:sz w:val="28"/>
        </w:rPr>
        <w:t>4.5强化物流用地保障</w:t>
      </w:r>
      <w:r>
        <w:rPr>
          <w:sz w:val="28"/>
        </w:rPr>
        <w:tab/>
      </w:r>
      <w:r>
        <w:rPr>
          <w:sz w:val="28"/>
        </w:rPr>
        <w:fldChar w:fldCharType="begin"/>
      </w:r>
      <w:r>
        <w:rPr>
          <w:sz w:val="28"/>
        </w:rPr>
        <w:instrText xml:space="preserve"> PAGEREF _Toc7300078 \h </w:instrText>
      </w:r>
      <w:r>
        <w:rPr>
          <w:sz w:val="28"/>
        </w:rPr>
        <w:fldChar w:fldCharType="separate"/>
      </w:r>
      <w:r>
        <w:rPr>
          <w:sz w:val="28"/>
        </w:rPr>
        <w:t>53</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"_Toc7300079" </w:instrText>
      </w:r>
      <w:r>
        <w:fldChar w:fldCharType="separate"/>
      </w:r>
      <w:r>
        <w:rPr>
          <w:rStyle w:val="19"/>
          <w:rFonts w:ascii="楷体" w:hAnsi="楷体" w:eastAsia="楷体"/>
          <w:sz w:val="28"/>
        </w:rPr>
        <w:t>4.6拓宽物流融资渠道</w:t>
      </w:r>
      <w:r>
        <w:rPr>
          <w:sz w:val="28"/>
        </w:rPr>
        <w:tab/>
      </w:r>
      <w:r>
        <w:rPr>
          <w:sz w:val="28"/>
        </w:rPr>
        <w:fldChar w:fldCharType="begin"/>
      </w:r>
      <w:r>
        <w:rPr>
          <w:sz w:val="28"/>
        </w:rPr>
        <w:instrText xml:space="preserve"> PAGEREF _Toc7300079 \h </w:instrText>
      </w:r>
      <w:r>
        <w:rPr>
          <w:sz w:val="28"/>
        </w:rPr>
        <w:fldChar w:fldCharType="separate"/>
      </w:r>
      <w:r>
        <w:rPr>
          <w:sz w:val="28"/>
        </w:rPr>
        <w:t>55</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"_Toc7300080" </w:instrText>
      </w:r>
      <w:r>
        <w:fldChar w:fldCharType="separate"/>
      </w:r>
      <w:r>
        <w:rPr>
          <w:rStyle w:val="19"/>
          <w:rFonts w:ascii="楷体" w:hAnsi="楷体" w:eastAsia="楷体"/>
          <w:sz w:val="28"/>
        </w:rPr>
        <w:t>4.7提高物流标准化水平</w:t>
      </w:r>
      <w:r>
        <w:rPr>
          <w:sz w:val="28"/>
        </w:rPr>
        <w:tab/>
      </w:r>
      <w:r>
        <w:rPr>
          <w:sz w:val="28"/>
        </w:rPr>
        <w:fldChar w:fldCharType="begin"/>
      </w:r>
      <w:r>
        <w:rPr>
          <w:sz w:val="28"/>
        </w:rPr>
        <w:instrText xml:space="preserve"> PAGEREF _Toc7300080 \h </w:instrText>
      </w:r>
      <w:r>
        <w:rPr>
          <w:sz w:val="28"/>
        </w:rPr>
        <w:fldChar w:fldCharType="separate"/>
      </w:r>
      <w:r>
        <w:rPr>
          <w:sz w:val="28"/>
        </w:rPr>
        <w:t>56</w:t>
      </w:r>
      <w:r>
        <w:rPr>
          <w:sz w:val="28"/>
        </w:rPr>
        <w:fldChar w:fldCharType="end"/>
      </w:r>
      <w:r>
        <w:rPr>
          <w:sz w:val="28"/>
        </w:rPr>
        <w:fldChar w:fldCharType="end"/>
      </w:r>
    </w:p>
    <w:p>
      <w:pPr>
        <w:pStyle w:val="12"/>
        <w:rPr>
          <w:sz w:val="28"/>
        </w:rPr>
      </w:pPr>
      <w:r>
        <w:fldChar w:fldCharType="begin"/>
      </w:r>
      <w:r>
        <w:instrText xml:space="preserve"> HYPERLINK \l "_Toc7300081" </w:instrText>
      </w:r>
      <w:r>
        <w:fldChar w:fldCharType="separate"/>
      </w:r>
      <w:r>
        <w:rPr>
          <w:rStyle w:val="19"/>
          <w:rFonts w:ascii="黑体" w:hAnsi="黑体" w:eastAsia="黑体"/>
          <w:sz w:val="28"/>
        </w:rPr>
        <w:t>5.需要国家有关部门支持的政策诉求</w:t>
      </w:r>
      <w:r>
        <w:rPr>
          <w:sz w:val="28"/>
        </w:rPr>
        <w:tab/>
      </w:r>
      <w:r>
        <w:rPr>
          <w:sz w:val="28"/>
        </w:rPr>
        <w:fldChar w:fldCharType="begin"/>
      </w:r>
      <w:r>
        <w:rPr>
          <w:sz w:val="28"/>
        </w:rPr>
        <w:instrText xml:space="preserve"> PAGEREF _Toc7300081 \h </w:instrText>
      </w:r>
      <w:r>
        <w:rPr>
          <w:sz w:val="28"/>
        </w:rPr>
        <w:fldChar w:fldCharType="separate"/>
      </w:r>
      <w:r>
        <w:rPr>
          <w:sz w:val="28"/>
        </w:rPr>
        <w:t>58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"_Toc7300082" </w:instrText>
      </w:r>
      <w:r>
        <w:fldChar w:fldCharType="separate"/>
      </w:r>
      <w:r>
        <w:rPr>
          <w:rStyle w:val="19"/>
          <w:rFonts w:ascii="楷体" w:hAnsi="楷体" w:eastAsia="楷体"/>
          <w:sz w:val="28"/>
        </w:rPr>
        <w:t>5.1完善物流资金支持政策</w:t>
      </w:r>
      <w:r>
        <w:rPr>
          <w:sz w:val="28"/>
        </w:rPr>
        <w:tab/>
      </w:r>
      <w:r>
        <w:rPr>
          <w:sz w:val="28"/>
        </w:rPr>
        <w:fldChar w:fldCharType="begin"/>
      </w:r>
      <w:r>
        <w:rPr>
          <w:sz w:val="28"/>
        </w:rPr>
        <w:instrText xml:space="preserve"> PAGEREF _Toc7300082 \h </w:instrText>
      </w:r>
      <w:r>
        <w:rPr>
          <w:sz w:val="28"/>
        </w:rPr>
        <w:fldChar w:fldCharType="separate"/>
      </w:r>
      <w:r>
        <w:rPr>
          <w:sz w:val="28"/>
        </w:rPr>
        <w:t>58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"_Toc7300083" </w:instrText>
      </w:r>
      <w:r>
        <w:fldChar w:fldCharType="separate"/>
      </w:r>
      <w:r>
        <w:rPr>
          <w:rStyle w:val="19"/>
          <w:rFonts w:ascii="楷体" w:hAnsi="楷体" w:eastAsia="楷体"/>
          <w:sz w:val="28"/>
        </w:rPr>
        <w:t>5.2构建物流成本监测体系</w:t>
      </w:r>
      <w:r>
        <w:rPr>
          <w:sz w:val="28"/>
        </w:rPr>
        <w:tab/>
      </w:r>
      <w:r>
        <w:rPr>
          <w:sz w:val="28"/>
        </w:rPr>
        <w:fldChar w:fldCharType="begin"/>
      </w:r>
      <w:r>
        <w:rPr>
          <w:sz w:val="28"/>
        </w:rPr>
        <w:instrText xml:space="preserve"> PAGEREF _Toc7300083 \h </w:instrText>
      </w:r>
      <w:r>
        <w:rPr>
          <w:sz w:val="28"/>
        </w:rPr>
        <w:fldChar w:fldCharType="separate"/>
      </w:r>
      <w:r>
        <w:rPr>
          <w:sz w:val="28"/>
        </w:rPr>
        <w:t>58</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"_Toc7300084" </w:instrText>
      </w:r>
      <w:r>
        <w:fldChar w:fldCharType="separate"/>
      </w:r>
      <w:r>
        <w:rPr>
          <w:rStyle w:val="19"/>
          <w:rFonts w:ascii="楷体" w:hAnsi="楷体" w:eastAsia="楷体"/>
          <w:sz w:val="28"/>
        </w:rPr>
        <w:t>5.3完善物流发展用地政策</w:t>
      </w:r>
      <w:r>
        <w:rPr>
          <w:sz w:val="28"/>
        </w:rPr>
        <w:tab/>
      </w:r>
      <w:r>
        <w:rPr>
          <w:sz w:val="28"/>
        </w:rPr>
        <w:fldChar w:fldCharType="begin"/>
      </w:r>
      <w:r>
        <w:rPr>
          <w:sz w:val="28"/>
        </w:rPr>
        <w:instrText xml:space="preserve"> PAGEREF _Toc7300084 \h </w:instrText>
      </w:r>
      <w:r>
        <w:rPr>
          <w:sz w:val="28"/>
        </w:rPr>
        <w:fldChar w:fldCharType="separate"/>
      </w:r>
      <w:r>
        <w:rPr>
          <w:sz w:val="28"/>
        </w:rPr>
        <w:t>59</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"_Toc7300085" </w:instrText>
      </w:r>
      <w:r>
        <w:fldChar w:fldCharType="separate"/>
      </w:r>
      <w:r>
        <w:rPr>
          <w:rStyle w:val="19"/>
          <w:rFonts w:ascii="楷体" w:hAnsi="楷体" w:eastAsia="楷体"/>
          <w:sz w:val="28"/>
        </w:rPr>
        <w:t>5.4建立物流市场诚信体系</w:t>
      </w:r>
      <w:r>
        <w:rPr>
          <w:sz w:val="28"/>
        </w:rPr>
        <w:tab/>
      </w:r>
      <w:r>
        <w:rPr>
          <w:sz w:val="28"/>
        </w:rPr>
        <w:fldChar w:fldCharType="begin"/>
      </w:r>
      <w:r>
        <w:rPr>
          <w:sz w:val="28"/>
        </w:rPr>
        <w:instrText xml:space="preserve"> PAGEREF _Toc7300085 \h </w:instrText>
      </w:r>
      <w:r>
        <w:rPr>
          <w:sz w:val="28"/>
        </w:rPr>
        <w:fldChar w:fldCharType="separate"/>
      </w:r>
      <w:r>
        <w:rPr>
          <w:sz w:val="28"/>
        </w:rPr>
        <w:t>59</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"_Toc7300086" </w:instrText>
      </w:r>
      <w:r>
        <w:fldChar w:fldCharType="separate"/>
      </w:r>
      <w:r>
        <w:rPr>
          <w:rStyle w:val="19"/>
          <w:rFonts w:ascii="楷体" w:hAnsi="楷体" w:eastAsia="楷体"/>
          <w:sz w:val="28"/>
        </w:rPr>
        <w:t>5.5深化铁路货运体制改革</w:t>
      </w:r>
      <w:r>
        <w:rPr>
          <w:sz w:val="28"/>
        </w:rPr>
        <w:tab/>
      </w:r>
      <w:r>
        <w:rPr>
          <w:sz w:val="28"/>
        </w:rPr>
        <w:fldChar w:fldCharType="begin"/>
      </w:r>
      <w:r>
        <w:rPr>
          <w:sz w:val="28"/>
        </w:rPr>
        <w:instrText xml:space="preserve"> PAGEREF _Toc7300086 \h </w:instrText>
      </w:r>
      <w:r>
        <w:rPr>
          <w:sz w:val="28"/>
        </w:rPr>
        <w:fldChar w:fldCharType="separate"/>
      </w:r>
      <w:r>
        <w:rPr>
          <w:sz w:val="28"/>
        </w:rPr>
        <w:t>60</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"_Toc7300087" </w:instrText>
      </w:r>
      <w:r>
        <w:fldChar w:fldCharType="separate"/>
      </w:r>
      <w:r>
        <w:rPr>
          <w:rStyle w:val="19"/>
          <w:rFonts w:ascii="楷体" w:hAnsi="楷体" w:eastAsia="楷体"/>
          <w:sz w:val="28"/>
        </w:rPr>
        <w:t>5.6充分发挥行业协会作用</w:t>
      </w:r>
      <w:r>
        <w:rPr>
          <w:sz w:val="28"/>
        </w:rPr>
        <w:tab/>
      </w:r>
      <w:r>
        <w:rPr>
          <w:sz w:val="28"/>
        </w:rPr>
        <w:fldChar w:fldCharType="begin"/>
      </w:r>
      <w:r>
        <w:rPr>
          <w:sz w:val="28"/>
        </w:rPr>
        <w:instrText xml:space="preserve"> PAGEREF _Toc7300087 \h </w:instrText>
      </w:r>
      <w:r>
        <w:rPr>
          <w:sz w:val="28"/>
        </w:rPr>
        <w:fldChar w:fldCharType="separate"/>
      </w:r>
      <w:r>
        <w:rPr>
          <w:sz w:val="28"/>
        </w:rPr>
        <w:t>60</w:t>
      </w:r>
      <w:r>
        <w:rPr>
          <w:sz w:val="28"/>
        </w:rPr>
        <w:fldChar w:fldCharType="end"/>
      </w:r>
      <w:r>
        <w:rPr>
          <w:sz w:val="28"/>
        </w:rPr>
        <w:fldChar w:fldCharType="end"/>
      </w:r>
    </w:p>
    <w:p>
      <w:pPr>
        <w:pStyle w:val="12"/>
        <w:rPr>
          <w:sz w:val="28"/>
        </w:rPr>
      </w:pPr>
      <w:r>
        <w:fldChar w:fldCharType="begin"/>
      </w:r>
      <w:r>
        <w:instrText xml:space="preserve"> HYPERLINK \l "_Toc7300088" </w:instrText>
      </w:r>
      <w:r>
        <w:fldChar w:fldCharType="separate"/>
      </w:r>
      <w:r>
        <w:rPr>
          <w:rStyle w:val="19"/>
          <w:rFonts w:ascii="黑体" w:hAnsi="黑体" w:eastAsia="黑体"/>
          <w:sz w:val="28"/>
        </w:rPr>
        <w:t>6.工作机制和保障措施</w:t>
      </w:r>
      <w:r>
        <w:rPr>
          <w:sz w:val="28"/>
        </w:rPr>
        <w:tab/>
      </w:r>
      <w:r>
        <w:rPr>
          <w:sz w:val="28"/>
        </w:rPr>
        <w:fldChar w:fldCharType="begin"/>
      </w:r>
      <w:r>
        <w:rPr>
          <w:sz w:val="28"/>
        </w:rPr>
        <w:instrText xml:space="preserve"> PAGEREF _Toc7300088 \h </w:instrText>
      </w:r>
      <w:r>
        <w:rPr>
          <w:sz w:val="28"/>
        </w:rPr>
        <w:fldChar w:fldCharType="separate"/>
      </w:r>
      <w:r>
        <w:rPr>
          <w:sz w:val="28"/>
        </w:rPr>
        <w:t>61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"_Toc7300089" </w:instrText>
      </w:r>
      <w:r>
        <w:fldChar w:fldCharType="separate"/>
      </w:r>
      <w:r>
        <w:rPr>
          <w:rStyle w:val="19"/>
          <w:rFonts w:ascii="楷体" w:hAnsi="楷体" w:eastAsia="楷体"/>
          <w:sz w:val="28"/>
        </w:rPr>
        <w:t>6.1建立试点工作协调推进机制</w:t>
      </w:r>
      <w:r>
        <w:rPr>
          <w:sz w:val="28"/>
        </w:rPr>
        <w:tab/>
      </w:r>
      <w:r>
        <w:rPr>
          <w:sz w:val="28"/>
        </w:rPr>
        <w:fldChar w:fldCharType="begin"/>
      </w:r>
      <w:r>
        <w:rPr>
          <w:sz w:val="28"/>
        </w:rPr>
        <w:instrText xml:space="preserve"> PAGEREF _Toc7300089 \h </w:instrText>
      </w:r>
      <w:r>
        <w:rPr>
          <w:sz w:val="28"/>
        </w:rPr>
        <w:fldChar w:fldCharType="separate"/>
      </w:r>
      <w:r>
        <w:rPr>
          <w:sz w:val="28"/>
        </w:rPr>
        <w:t>61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"_Toc7300090" </w:instrText>
      </w:r>
      <w:r>
        <w:fldChar w:fldCharType="separate"/>
      </w:r>
      <w:r>
        <w:rPr>
          <w:rStyle w:val="19"/>
          <w:rFonts w:ascii="楷体" w:hAnsi="楷体" w:eastAsia="楷体"/>
          <w:sz w:val="28"/>
        </w:rPr>
        <w:t>6.2强化宣传引导和复制推广</w:t>
      </w:r>
      <w:r>
        <w:rPr>
          <w:sz w:val="28"/>
        </w:rPr>
        <w:tab/>
      </w:r>
      <w:r>
        <w:rPr>
          <w:sz w:val="28"/>
        </w:rPr>
        <w:fldChar w:fldCharType="begin"/>
      </w:r>
      <w:r>
        <w:rPr>
          <w:sz w:val="28"/>
        </w:rPr>
        <w:instrText xml:space="preserve"> PAGEREF _Toc7300090 \h </w:instrText>
      </w:r>
      <w:r>
        <w:rPr>
          <w:sz w:val="28"/>
        </w:rPr>
        <w:fldChar w:fldCharType="separate"/>
      </w:r>
      <w:r>
        <w:rPr>
          <w:sz w:val="28"/>
        </w:rPr>
        <w:t>61</w:t>
      </w:r>
      <w:r>
        <w:rPr>
          <w:sz w:val="28"/>
        </w:rPr>
        <w:fldChar w:fldCharType="end"/>
      </w:r>
      <w:r>
        <w:rPr>
          <w:sz w:val="28"/>
        </w:rPr>
        <w:fldChar w:fldCharType="end"/>
      </w:r>
    </w:p>
    <w:p>
      <w:pPr>
        <w:pStyle w:val="13"/>
        <w:tabs>
          <w:tab w:val="right" w:leader="dot" w:pos="8296"/>
        </w:tabs>
        <w:rPr>
          <w:sz w:val="28"/>
        </w:rPr>
      </w:pPr>
      <w:r>
        <w:fldChar w:fldCharType="begin"/>
      </w:r>
      <w:r>
        <w:instrText xml:space="preserve"> HYPERLINK \l "_Toc7300091" </w:instrText>
      </w:r>
      <w:r>
        <w:fldChar w:fldCharType="separate"/>
      </w:r>
      <w:r>
        <w:rPr>
          <w:rStyle w:val="19"/>
          <w:rFonts w:ascii="楷体" w:hAnsi="楷体" w:eastAsia="楷体"/>
          <w:sz w:val="28"/>
        </w:rPr>
        <w:t>6.3加强动态监测和综合评价</w:t>
      </w:r>
      <w:r>
        <w:rPr>
          <w:sz w:val="28"/>
        </w:rPr>
        <w:tab/>
      </w:r>
      <w:r>
        <w:rPr>
          <w:sz w:val="28"/>
        </w:rPr>
        <w:fldChar w:fldCharType="begin"/>
      </w:r>
      <w:r>
        <w:rPr>
          <w:sz w:val="28"/>
        </w:rPr>
        <w:instrText xml:space="preserve"> PAGEREF _Toc7300091 \h </w:instrText>
      </w:r>
      <w:r>
        <w:rPr>
          <w:sz w:val="28"/>
        </w:rPr>
        <w:fldChar w:fldCharType="separate"/>
      </w:r>
      <w:r>
        <w:rPr>
          <w:sz w:val="28"/>
        </w:rPr>
        <w:t>62</w:t>
      </w:r>
      <w:r>
        <w:rPr>
          <w:sz w:val="28"/>
        </w:rPr>
        <w:fldChar w:fldCharType="end"/>
      </w:r>
      <w:r>
        <w:rPr>
          <w:sz w:val="28"/>
        </w:rPr>
        <w:fldChar w:fldCharType="end"/>
      </w:r>
    </w:p>
    <w:p>
      <w:pPr>
        <w:pStyle w:val="13"/>
        <w:tabs>
          <w:tab w:val="right" w:leader="dot" w:pos="8296"/>
        </w:tabs>
        <w:spacing w:line="360" w:lineRule="auto"/>
      </w:pPr>
      <w:r>
        <w:rPr>
          <w:sz w:val="36"/>
        </w:rPr>
        <w:fldChar w:fldCharType="end"/>
      </w:r>
    </w:p>
    <w:p>
      <w:pPr>
        <w:pStyle w:val="2"/>
        <w:sectPr>
          <w:footerReference r:id="rId4" w:type="default"/>
          <w:pgSz w:w="11906" w:h="16838"/>
          <w:pgMar w:top="1440" w:right="1800" w:bottom="1440" w:left="1800" w:header="851" w:footer="992" w:gutter="0"/>
          <w:pgNumType w:fmt="lowerRoman" w:start="1"/>
          <w:cols w:space="425" w:num="1"/>
          <w:docGrid w:type="lines" w:linePitch="312" w:charSpace="0"/>
        </w:sectPr>
      </w:pPr>
      <w:bookmarkStart w:id="0" w:name="_Toc4600195"/>
    </w:p>
    <w:p>
      <w:pPr>
        <w:pStyle w:val="2"/>
        <w:spacing w:line="600" w:lineRule="exact"/>
        <w:rPr>
          <w:rFonts w:ascii="黑体" w:hAnsi="黑体" w:eastAsia="黑体"/>
          <w:sz w:val="32"/>
        </w:rPr>
      </w:pPr>
      <w:bookmarkStart w:id="1" w:name="_Toc7299982"/>
      <w:bookmarkStart w:id="2" w:name="_Toc7300056"/>
      <w:bookmarkStart w:id="3" w:name="_Toc6551628"/>
      <w:r>
        <w:rPr>
          <w:rFonts w:hint="eastAsia" w:ascii="黑体" w:hAnsi="黑体" w:eastAsia="黑体"/>
          <w:sz w:val="32"/>
        </w:rPr>
        <w:t>1.经济社会发展概况</w:t>
      </w:r>
      <w:bookmarkEnd w:id="0"/>
      <w:bookmarkEnd w:id="1"/>
      <w:bookmarkEnd w:id="2"/>
      <w:bookmarkEnd w:id="3"/>
    </w:p>
    <w:p>
      <w:pPr>
        <w:pStyle w:val="3"/>
        <w:rPr>
          <w:rFonts w:ascii="楷体" w:hAnsi="楷体" w:eastAsia="楷体"/>
        </w:rPr>
      </w:pPr>
      <w:bookmarkStart w:id="4" w:name="_Toc7299983"/>
      <w:bookmarkStart w:id="5" w:name="_Toc7300057"/>
      <w:bookmarkStart w:id="6" w:name="_Toc6551629"/>
      <w:r>
        <w:rPr>
          <w:rFonts w:hint="eastAsia" w:ascii="楷体" w:hAnsi="楷体" w:eastAsia="楷体"/>
        </w:rPr>
        <w:t>1.1基本概况</w:t>
      </w:r>
      <w:bookmarkEnd w:id="4"/>
      <w:bookmarkEnd w:id="5"/>
      <w:bookmarkEnd w:id="6"/>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湖南省地处我国中部、长江中游，东临江西，西接重庆、贵州，南毗广东、广西，北与湖北相连，全省东西直线距离宽667公里，南北直线距离长774公里，土地面积21.18万平方公里，占全国国土面积的2.2%，在各省市区面积中居第11位。全省辖13个市、1个自治州、122个县（市、区）。2018年总人口6898.8万人，其中城镇人口3864.7万人，城镇化率达到56.02%。</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湖南地貌以山地、丘陵为主，山地面积占全省总面积的51.2%，丘陵及岗地占29.3%，平原占13.1%，水面占6.4%。全省三面环山，形成从东南西三面向北倾斜开口的马蹄形状。东有幕阜山、罗霄山脉；南有南岭山脉；西有武陵山、雪峰山脉，海拔从500米至1500米不等。湘北为洞庭湖平原，海拔多在50米以下。湘中则丘陵与河谷相间。省内河网密布，水系发达，淡水面积达1.35万平方公里。湘北有洞庭湖，为全国第二大淡水湖。有湘江、资水、沅水和澧水等4大水系，分别从西南向东北流入洞庭湖，经城陵矶注入长江。5公里以上河流5341条，河流可通航里程1.5万公里，内河航线贯通95%的县市和30%以上的乡镇。</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湖南为大陆性亚热带季风湿润气候，光、热、水资源丰富，气候年内变化较大，冬寒冷而夏酷热。无霜期长达260-310天，年平均降水量在1200-1700毫米之间，雨量充沛，为我国雨水较多的省区之一。</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湖南物产富饶，俗有“湖广熟，天下足”之谓，是著名的“渔米之乡”。全省实有耕地总资源415.35万公顷，有林地面积1.65亿亩，森林覆盖率为59.57%。粮食、油料、生猪、苎麻、棉花、烤烟等主要农副产品产量均位居全国前列。湖南矿产丰富，矿种齐全，是驰名中外的“有色金属之乡”和“非金属矿之乡”。</w:t>
      </w:r>
    </w:p>
    <w:p>
      <w:pPr>
        <w:pStyle w:val="3"/>
        <w:rPr>
          <w:rFonts w:ascii="楷体" w:hAnsi="楷体" w:eastAsia="楷体"/>
        </w:rPr>
      </w:pPr>
      <w:bookmarkStart w:id="7" w:name="_Toc6551630"/>
      <w:bookmarkStart w:id="8" w:name="_Toc7299984"/>
      <w:bookmarkStart w:id="9" w:name="_Toc7300058"/>
      <w:r>
        <w:rPr>
          <w:rFonts w:hint="eastAsia" w:ascii="楷体" w:hAnsi="楷体" w:eastAsia="楷体"/>
        </w:rPr>
        <w:t>1.2经济发展</w:t>
      </w:r>
      <w:bookmarkEnd w:id="7"/>
      <w:r>
        <w:rPr>
          <w:rFonts w:hint="eastAsia" w:ascii="楷体" w:hAnsi="楷体" w:eastAsia="楷体"/>
        </w:rPr>
        <w:t>情况</w:t>
      </w:r>
      <w:bookmarkEnd w:id="8"/>
      <w:bookmarkEnd w:id="9"/>
    </w:p>
    <w:p>
      <w:pPr>
        <w:pStyle w:val="4"/>
        <w:rPr>
          <w:rFonts w:ascii="仿宋_GB2312" w:eastAsia="仿宋_GB2312" w:cs="Times New Roman" w:hAnsiTheme="minorEastAsia"/>
          <w:bCs w:val="0"/>
        </w:rPr>
      </w:pPr>
      <w:bookmarkStart w:id="10" w:name="_Toc7299985"/>
      <w:r>
        <w:rPr>
          <w:rFonts w:hint="eastAsia" w:ascii="仿宋_GB2312" w:eastAsia="仿宋_GB2312" w:cs="Times New Roman" w:hAnsiTheme="minorEastAsia"/>
          <w:bCs w:val="0"/>
        </w:rPr>
        <w:t>1</w:t>
      </w:r>
      <w:r>
        <w:rPr>
          <w:rFonts w:ascii="仿宋_GB2312" w:eastAsia="仿宋_GB2312" w:cs="Times New Roman" w:hAnsiTheme="minorEastAsia"/>
          <w:bCs w:val="0"/>
        </w:rPr>
        <w:t>.2.1</w:t>
      </w:r>
      <w:r>
        <w:rPr>
          <w:rFonts w:hint="eastAsia" w:ascii="仿宋_GB2312" w:eastAsia="仿宋_GB2312" w:cs="Times New Roman" w:hAnsiTheme="minorEastAsia"/>
          <w:bCs w:val="0"/>
        </w:rPr>
        <w:t>总体情况</w:t>
      </w:r>
      <w:bookmarkEnd w:id="10"/>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近年来</w:t>
      </w:r>
      <w:r>
        <w:rPr>
          <w:rFonts w:ascii="仿宋_GB2312" w:eastAsia="仿宋_GB2312" w:hAnsiTheme="minorEastAsia"/>
          <w:sz w:val="32"/>
          <w:szCs w:val="32"/>
        </w:rPr>
        <w:t>，湖南省面对复杂多变的国内外经济环境和经济下行压力，全省经济保持</w:t>
      </w:r>
      <w:r>
        <w:rPr>
          <w:rFonts w:hint="eastAsia" w:ascii="仿宋_GB2312" w:eastAsia="仿宋_GB2312" w:hAnsiTheme="minorEastAsia"/>
          <w:sz w:val="32"/>
          <w:szCs w:val="32"/>
        </w:rPr>
        <w:t>了</w:t>
      </w:r>
      <w:r>
        <w:rPr>
          <w:rFonts w:ascii="仿宋_GB2312" w:eastAsia="仿宋_GB2312" w:hAnsiTheme="minorEastAsia"/>
          <w:sz w:val="32"/>
          <w:szCs w:val="32"/>
        </w:rPr>
        <w:t>总体平稳、稳中有进、稳中向好的发展态势。</w:t>
      </w:r>
      <w:r>
        <w:rPr>
          <w:rFonts w:hint="eastAsia" w:ascii="仿宋_GB2312" w:eastAsia="仿宋_GB2312" w:hAnsiTheme="minorEastAsia"/>
          <w:sz w:val="32"/>
          <w:szCs w:val="32"/>
        </w:rPr>
        <w:t>2018年，湖南省</w:t>
      </w:r>
      <w:r>
        <w:rPr>
          <w:rFonts w:ascii="仿宋_GB2312" w:eastAsia="仿宋_GB2312" w:hAnsiTheme="minorEastAsia"/>
          <w:sz w:val="32"/>
          <w:szCs w:val="32"/>
        </w:rPr>
        <w:t>地区生产总值</w:t>
      </w:r>
      <w:r>
        <w:rPr>
          <w:rFonts w:hint="eastAsia" w:ascii="仿宋_GB2312" w:eastAsia="仿宋_GB2312" w:hAnsiTheme="minorEastAsia"/>
          <w:sz w:val="32"/>
          <w:szCs w:val="32"/>
        </w:rPr>
        <w:t>达到</w:t>
      </w:r>
      <w:r>
        <w:rPr>
          <w:rFonts w:ascii="仿宋_GB2312" w:eastAsia="仿宋_GB2312" w:hAnsiTheme="minorEastAsia"/>
          <w:sz w:val="32"/>
          <w:szCs w:val="32"/>
        </w:rPr>
        <w:t>36425.8亿元，</w:t>
      </w:r>
      <w:r>
        <w:rPr>
          <w:rFonts w:hint="eastAsia" w:ascii="仿宋_GB2312" w:eastAsia="仿宋_GB2312" w:hAnsiTheme="minorEastAsia"/>
          <w:sz w:val="32"/>
          <w:szCs w:val="32"/>
        </w:rPr>
        <w:t>位列全国第八位，</w:t>
      </w:r>
      <w:r>
        <w:rPr>
          <w:rFonts w:ascii="仿宋_GB2312" w:eastAsia="仿宋_GB2312" w:hAnsiTheme="minorEastAsia"/>
          <w:sz w:val="32"/>
          <w:szCs w:val="32"/>
        </w:rPr>
        <w:t>比上年增长7.8%</w:t>
      </w:r>
      <w:r>
        <w:rPr>
          <w:rFonts w:hint="eastAsia" w:ascii="仿宋_GB2312" w:eastAsia="仿宋_GB2312" w:hAnsiTheme="minorEastAsia"/>
          <w:sz w:val="32"/>
          <w:szCs w:val="32"/>
        </w:rPr>
        <w:t>。</w:t>
      </w:r>
      <w:r>
        <w:rPr>
          <w:rFonts w:ascii="仿宋_GB2312" w:eastAsia="仿宋_GB2312" w:hAnsiTheme="minorEastAsia"/>
          <w:sz w:val="32"/>
          <w:szCs w:val="32"/>
        </w:rPr>
        <w:t>按常住人口计算，人均地区生产总值52949元，增长7.2%。</w:t>
      </w:r>
      <w:r>
        <w:rPr>
          <w:rFonts w:hint="eastAsia" w:ascii="仿宋_GB2312" w:eastAsia="仿宋_GB2312" w:hAnsiTheme="minorEastAsia"/>
          <w:sz w:val="32"/>
          <w:szCs w:val="32"/>
        </w:rPr>
        <w:t>三次产业</w:t>
      </w:r>
      <w:r>
        <w:rPr>
          <w:rFonts w:ascii="仿宋_GB2312" w:eastAsia="仿宋_GB2312" w:hAnsiTheme="minorEastAsia"/>
          <w:sz w:val="32"/>
          <w:szCs w:val="32"/>
        </w:rPr>
        <w:t>结构为8.5</w:t>
      </w:r>
      <w:r>
        <w:rPr>
          <w:rFonts w:hint="eastAsia" w:ascii="仿宋_GB2312" w:eastAsia="仿宋_GB2312" w:hAnsiTheme="minorEastAsia"/>
          <w:sz w:val="32"/>
          <w:szCs w:val="32"/>
        </w:rPr>
        <w:t>∶</w:t>
      </w:r>
      <w:r>
        <w:rPr>
          <w:rFonts w:ascii="仿宋_GB2312" w:eastAsia="仿宋_GB2312" w:hAnsiTheme="minorEastAsia"/>
          <w:sz w:val="32"/>
          <w:szCs w:val="32"/>
        </w:rPr>
        <w:t>39.7</w:t>
      </w:r>
      <w:r>
        <w:rPr>
          <w:rFonts w:hint="eastAsia" w:ascii="仿宋_GB2312" w:eastAsia="仿宋_GB2312" w:hAnsiTheme="minorEastAsia"/>
          <w:sz w:val="32"/>
          <w:szCs w:val="32"/>
        </w:rPr>
        <w:t>∶</w:t>
      </w:r>
      <w:r>
        <w:rPr>
          <w:rFonts w:ascii="仿宋_GB2312" w:eastAsia="仿宋_GB2312" w:hAnsiTheme="minorEastAsia"/>
          <w:sz w:val="32"/>
          <w:szCs w:val="32"/>
        </w:rPr>
        <w:t>51.8。第一、二、三产业对经济增长的贡献率分别为4.0%、40.9%和55.1%</w:t>
      </w:r>
      <w:r>
        <w:rPr>
          <w:rFonts w:hint="eastAsia" w:ascii="仿宋_GB2312" w:eastAsia="仿宋_GB2312" w:hAnsiTheme="minorEastAsia"/>
          <w:sz w:val="32"/>
          <w:szCs w:val="32"/>
        </w:rPr>
        <w:t>；</w:t>
      </w:r>
      <w:r>
        <w:rPr>
          <w:rFonts w:ascii="仿宋_GB2312" w:eastAsia="仿宋_GB2312" w:hAnsiTheme="minorEastAsia"/>
          <w:sz w:val="32"/>
          <w:szCs w:val="32"/>
        </w:rPr>
        <w:t>资本形成总额、最终消费支出、货物和服务净流出对经济增长的贡献率分别为45.0%、56.9%和-1.9%。</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分区域看，长株潭地区生产总值15796.3亿元，增长8.3%；湘南地区生产总值7243.6亿元</w:t>
      </w:r>
      <w:r>
        <w:rPr>
          <w:rFonts w:hint="eastAsia" w:ascii="仿宋_GB2312" w:eastAsia="仿宋_GB2312" w:hAnsiTheme="minorEastAsia"/>
          <w:sz w:val="32"/>
          <w:szCs w:val="32"/>
        </w:rPr>
        <w:t>，</w:t>
      </w:r>
      <w:r>
        <w:rPr>
          <w:rFonts w:ascii="仿宋_GB2312" w:eastAsia="仿宋_GB2312" w:hAnsiTheme="minorEastAsia"/>
          <w:sz w:val="32"/>
          <w:szCs w:val="32"/>
        </w:rPr>
        <w:t>增长8.2%；大湘西地区生产总值6020.3亿元，增长7.8%；洞庭湖地区生产总值8563.6亿元，增长8.2%。</w:t>
      </w:r>
    </w:p>
    <w:p>
      <w:pPr>
        <w:widowControl/>
        <w:shd w:val="clear" w:color="auto" w:fill="FFFFFF"/>
        <w:spacing w:line="360" w:lineRule="auto"/>
        <w:jc w:val="left"/>
        <w:textAlignment w:val="baseline"/>
        <w:rPr>
          <w:rFonts w:cs="Times New Roman" w:asciiTheme="minorEastAsia" w:hAnsiTheme="minorEastAsia"/>
          <w:sz w:val="28"/>
          <w:szCs w:val="24"/>
        </w:rPr>
      </w:pPr>
      <w:r>
        <w:rPr>
          <w:rFonts w:hint="eastAsia" w:cs="Times New Roman" w:asciiTheme="minorEastAsia" w:hAnsiTheme="minorEastAsia"/>
          <w:sz w:val="28"/>
          <w:szCs w:val="24"/>
        </w:rPr>
        <w:drawing>
          <wp:inline distT="0" distB="0" distL="0" distR="0">
            <wp:extent cx="5274310" cy="2442210"/>
            <wp:effectExtent l="1905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srcRect/>
                    <a:stretch>
                      <a:fillRect/>
                    </a:stretch>
                  </pic:blipFill>
                  <pic:spPr>
                    <a:xfrm>
                      <a:off x="0" y="0"/>
                      <a:ext cx="5274310" cy="2442497"/>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b/>
          <w:sz w:val="24"/>
          <w:szCs w:val="24"/>
        </w:rPr>
      </w:pPr>
      <w:r>
        <w:rPr>
          <w:rFonts w:hint="eastAsia" w:asciiTheme="minorEastAsia" w:hAnsiTheme="minorEastAsia"/>
          <w:b/>
          <w:sz w:val="24"/>
          <w:szCs w:val="24"/>
        </w:rPr>
        <w:t>图1</w:t>
      </w:r>
      <w:r>
        <w:rPr>
          <w:rFonts w:asciiTheme="minorEastAsia" w:hAnsiTheme="minorEastAsia"/>
          <w:b/>
          <w:sz w:val="24"/>
          <w:szCs w:val="24"/>
        </w:rPr>
        <w:t>-</w:t>
      </w:r>
      <w:r>
        <w:rPr>
          <w:rFonts w:hint="eastAsia" w:asciiTheme="minorEastAsia" w:hAnsiTheme="minorEastAsia"/>
          <w:b/>
          <w:sz w:val="24"/>
          <w:szCs w:val="24"/>
        </w:rPr>
        <w:t>1 2018年湖南省地区生产总值</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2018年</w:t>
      </w:r>
      <w:r>
        <w:rPr>
          <w:rFonts w:ascii="仿宋_GB2312" w:eastAsia="仿宋_GB2312" w:hAnsiTheme="minorEastAsia"/>
          <w:sz w:val="32"/>
          <w:szCs w:val="32"/>
        </w:rPr>
        <w:t>社会消费品零售总额</w:t>
      </w:r>
      <w:r>
        <w:rPr>
          <w:rFonts w:hint="eastAsia" w:ascii="仿宋_GB2312" w:eastAsia="仿宋_GB2312" w:hAnsiTheme="minorEastAsia"/>
          <w:sz w:val="32"/>
          <w:szCs w:val="32"/>
        </w:rPr>
        <w:t>达</w:t>
      </w:r>
      <w:r>
        <w:rPr>
          <w:rFonts w:ascii="仿宋_GB2312" w:eastAsia="仿宋_GB2312" w:hAnsiTheme="minorEastAsia"/>
          <w:sz w:val="32"/>
          <w:szCs w:val="32"/>
        </w:rPr>
        <w:t>15638.3亿元，比上年增长10.0%。</w:t>
      </w:r>
      <w:r>
        <w:rPr>
          <w:rFonts w:hint="eastAsia" w:ascii="仿宋_GB2312" w:eastAsia="仿宋_GB2312" w:hAnsiTheme="minorEastAsia"/>
          <w:sz w:val="32"/>
          <w:szCs w:val="32"/>
        </w:rPr>
        <w:t>其中</w:t>
      </w:r>
      <w:r>
        <w:rPr>
          <w:rFonts w:ascii="仿宋_GB2312" w:eastAsia="仿宋_GB2312" w:hAnsiTheme="minorEastAsia"/>
          <w:sz w:val="32"/>
          <w:szCs w:val="32"/>
        </w:rPr>
        <w:t>，城镇消费品零售总额14124.9亿元，增长9.9%；乡村消费品零售总额1513.4亿元，增长11.2%。分区域看，长株潭地区</w:t>
      </w:r>
      <w:r>
        <w:rPr>
          <w:rFonts w:hint="eastAsia" w:ascii="仿宋_GB2312" w:eastAsia="仿宋_GB2312" w:hAnsiTheme="minorEastAsia"/>
          <w:sz w:val="32"/>
          <w:szCs w:val="32"/>
        </w:rPr>
        <w:t>占41</w:t>
      </w:r>
      <w:r>
        <w:rPr>
          <w:rFonts w:ascii="仿宋_GB2312" w:eastAsia="仿宋_GB2312" w:hAnsiTheme="minorEastAsia"/>
          <w:sz w:val="32"/>
          <w:szCs w:val="32"/>
        </w:rPr>
        <w:t>.</w:t>
      </w:r>
      <w:r>
        <w:rPr>
          <w:rFonts w:hint="eastAsia" w:ascii="仿宋_GB2312" w:eastAsia="仿宋_GB2312" w:hAnsiTheme="minorEastAsia"/>
          <w:sz w:val="32"/>
          <w:szCs w:val="32"/>
        </w:rPr>
        <w:t>6</w:t>
      </w:r>
      <w:r>
        <w:rPr>
          <w:rFonts w:ascii="仿宋_GB2312" w:eastAsia="仿宋_GB2312" w:hAnsiTheme="minorEastAsia"/>
          <w:sz w:val="32"/>
          <w:szCs w:val="32"/>
        </w:rPr>
        <w:t>%</w:t>
      </w:r>
      <w:r>
        <w:rPr>
          <w:rFonts w:hint="eastAsia" w:ascii="仿宋_GB2312" w:eastAsia="仿宋_GB2312" w:hAnsiTheme="minorEastAsia"/>
          <w:sz w:val="32"/>
          <w:szCs w:val="32"/>
        </w:rPr>
        <w:t>、</w:t>
      </w:r>
      <w:r>
        <w:rPr>
          <w:rFonts w:ascii="仿宋_GB2312" w:eastAsia="仿宋_GB2312" w:hAnsiTheme="minorEastAsia"/>
          <w:sz w:val="32"/>
          <w:szCs w:val="32"/>
        </w:rPr>
        <w:t>洞庭湖地区</w:t>
      </w:r>
      <w:r>
        <w:rPr>
          <w:rFonts w:hint="eastAsia" w:ascii="仿宋_GB2312" w:eastAsia="仿宋_GB2312" w:hAnsiTheme="minorEastAsia"/>
          <w:sz w:val="32"/>
          <w:szCs w:val="32"/>
        </w:rPr>
        <w:t>21%、</w:t>
      </w:r>
      <w:r>
        <w:rPr>
          <w:rFonts w:ascii="仿宋_GB2312" w:eastAsia="仿宋_GB2312" w:hAnsiTheme="minorEastAsia"/>
          <w:sz w:val="32"/>
          <w:szCs w:val="32"/>
        </w:rPr>
        <w:t>湘南地区1</w:t>
      </w:r>
      <w:r>
        <w:rPr>
          <w:rFonts w:hint="eastAsia" w:ascii="仿宋_GB2312" w:eastAsia="仿宋_GB2312" w:hAnsiTheme="minorEastAsia"/>
          <w:sz w:val="32"/>
          <w:szCs w:val="32"/>
        </w:rPr>
        <w:t>9</w:t>
      </w:r>
      <w:r>
        <w:rPr>
          <w:rFonts w:ascii="仿宋_GB2312" w:eastAsia="仿宋_GB2312" w:hAnsiTheme="minorEastAsia"/>
          <w:sz w:val="32"/>
          <w:szCs w:val="32"/>
        </w:rPr>
        <w:t>.</w:t>
      </w:r>
      <w:r>
        <w:rPr>
          <w:rFonts w:hint="eastAsia" w:ascii="仿宋_GB2312" w:eastAsia="仿宋_GB2312" w:hAnsiTheme="minorEastAsia"/>
          <w:sz w:val="32"/>
          <w:szCs w:val="32"/>
        </w:rPr>
        <w:t>7</w:t>
      </w:r>
      <w:r>
        <w:rPr>
          <w:rFonts w:ascii="仿宋_GB2312" w:eastAsia="仿宋_GB2312" w:hAnsiTheme="minorEastAsia"/>
          <w:sz w:val="32"/>
          <w:szCs w:val="32"/>
        </w:rPr>
        <w:t>%</w:t>
      </w:r>
      <w:r>
        <w:rPr>
          <w:rFonts w:hint="eastAsia" w:ascii="仿宋_GB2312" w:eastAsia="仿宋_GB2312" w:hAnsiTheme="minorEastAsia"/>
          <w:sz w:val="32"/>
          <w:szCs w:val="32"/>
        </w:rPr>
        <w:t>、</w:t>
      </w:r>
      <w:r>
        <w:rPr>
          <w:rFonts w:ascii="仿宋_GB2312" w:eastAsia="仿宋_GB2312" w:hAnsiTheme="minorEastAsia"/>
          <w:sz w:val="32"/>
          <w:szCs w:val="32"/>
        </w:rPr>
        <w:t>大湘西地区1</w:t>
      </w:r>
      <w:r>
        <w:rPr>
          <w:rFonts w:hint="eastAsia" w:ascii="仿宋_GB2312" w:eastAsia="仿宋_GB2312" w:hAnsiTheme="minorEastAsia"/>
          <w:sz w:val="32"/>
          <w:szCs w:val="32"/>
        </w:rPr>
        <w:t>7</w:t>
      </w:r>
      <w:r>
        <w:rPr>
          <w:rFonts w:ascii="仿宋_GB2312" w:eastAsia="仿宋_GB2312" w:hAnsiTheme="minorEastAsia"/>
          <w:sz w:val="32"/>
          <w:szCs w:val="32"/>
        </w:rPr>
        <w:t>.</w:t>
      </w:r>
      <w:r>
        <w:rPr>
          <w:rFonts w:hint="eastAsia" w:ascii="仿宋_GB2312" w:eastAsia="仿宋_GB2312" w:hAnsiTheme="minorEastAsia"/>
          <w:sz w:val="32"/>
          <w:szCs w:val="32"/>
        </w:rPr>
        <w:t>6</w:t>
      </w:r>
      <w:r>
        <w:rPr>
          <w:rFonts w:ascii="仿宋_GB2312" w:eastAsia="仿宋_GB2312" w:hAnsiTheme="minorEastAsia"/>
          <w:sz w:val="32"/>
          <w:szCs w:val="32"/>
        </w:rPr>
        <w:t>%。全省进出口总额</w:t>
      </w:r>
      <w:r>
        <w:rPr>
          <w:rFonts w:hint="eastAsia" w:ascii="仿宋_GB2312" w:eastAsia="仿宋_GB2312" w:hAnsiTheme="minorEastAsia"/>
          <w:sz w:val="32"/>
          <w:szCs w:val="32"/>
        </w:rPr>
        <w:t>达到</w:t>
      </w:r>
      <w:r>
        <w:rPr>
          <w:rFonts w:ascii="仿宋_GB2312" w:eastAsia="仿宋_GB2312" w:hAnsiTheme="minorEastAsia"/>
          <w:sz w:val="32"/>
          <w:szCs w:val="32"/>
        </w:rPr>
        <w:t>3079.5亿元，比上年增长26.5%。其中，出口2026.7亿元，增长29.5%；进口1052.8亿元，增长21.2%。一般贸易出口1561.9亿元，增长38.7%；加工贸易出口450.2亿元，增长4.3%。出口额居前五位的商品</w:t>
      </w:r>
      <w:r>
        <w:rPr>
          <w:rFonts w:hint="eastAsia" w:ascii="仿宋_GB2312" w:eastAsia="仿宋_GB2312" w:hAnsiTheme="minorEastAsia"/>
          <w:sz w:val="32"/>
          <w:szCs w:val="32"/>
        </w:rPr>
        <w:t>为：</w:t>
      </w:r>
      <w:r>
        <w:rPr>
          <w:rFonts w:ascii="仿宋_GB2312" w:eastAsia="仿宋_GB2312" w:hAnsiTheme="minorEastAsia"/>
          <w:sz w:val="32"/>
          <w:szCs w:val="32"/>
        </w:rPr>
        <w:t>服装及衣着附件</w:t>
      </w:r>
      <w:r>
        <w:rPr>
          <w:rFonts w:hint="eastAsia" w:ascii="仿宋_GB2312" w:eastAsia="仿宋_GB2312" w:hAnsiTheme="minorEastAsia"/>
          <w:sz w:val="32"/>
          <w:szCs w:val="32"/>
        </w:rPr>
        <w:t>、</w:t>
      </w:r>
      <w:r>
        <w:rPr>
          <w:rFonts w:ascii="仿宋_GB2312" w:eastAsia="仿宋_GB2312" w:hAnsiTheme="minorEastAsia"/>
          <w:sz w:val="32"/>
          <w:szCs w:val="32"/>
        </w:rPr>
        <w:t>鞋类</w:t>
      </w:r>
      <w:r>
        <w:rPr>
          <w:rFonts w:hint="eastAsia" w:ascii="仿宋_GB2312" w:eastAsia="仿宋_GB2312" w:hAnsiTheme="minorEastAsia"/>
          <w:sz w:val="32"/>
          <w:szCs w:val="32"/>
        </w:rPr>
        <w:t>、</w:t>
      </w:r>
      <w:r>
        <w:rPr>
          <w:rFonts w:ascii="仿宋_GB2312" w:eastAsia="仿宋_GB2312" w:hAnsiTheme="minorEastAsia"/>
          <w:sz w:val="32"/>
          <w:szCs w:val="32"/>
        </w:rPr>
        <w:t>钢材</w:t>
      </w:r>
      <w:r>
        <w:rPr>
          <w:rFonts w:hint="eastAsia" w:ascii="仿宋_GB2312" w:eastAsia="仿宋_GB2312" w:hAnsiTheme="minorEastAsia"/>
          <w:sz w:val="32"/>
          <w:szCs w:val="32"/>
        </w:rPr>
        <w:t>、</w:t>
      </w:r>
      <w:r>
        <w:rPr>
          <w:rFonts w:ascii="仿宋_GB2312" w:eastAsia="仿宋_GB2312" w:hAnsiTheme="minorEastAsia"/>
          <w:sz w:val="32"/>
          <w:szCs w:val="32"/>
        </w:rPr>
        <w:t>陶瓷产品</w:t>
      </w:r>
      <w:r>
        <w:rPr>
          <w:rFonts w:hint="eastAsia" w:ascii="仿宋_GB2312" w:eastAsia="仿宋_GB2312" w:hAnsiTheme="minorEastAsia"/>
          <w:sz w:val="32"/>
          <w:szCs w:val="32"/>
        </w:rPr>
        <w:t>、</w:t>
      </w:r>
      <w:r>
        <w:rPr>
          <w:rFonts w:ascii="仿宋_GB2312" w:eastAsia="仿宋_GB2312" w:hAnsiTheme="minorEastAsia"/>
          <w:sz w:val="32"/>
          <w:szCs w:val="32"/>
        </w:rPr>
        <w:t>箱包及类似容器。</w:t>
      </w:r>
      <w:r>
        <w:rPr>
          <w:rFonts w:hint="eastAsia" w:ascii="仿宋_GB2312" w:eastAsia="仿宋_GB2312" w:hAnsiTheme="minorEastAsia"/>
          <w:sz w:val="32"/>
          <w:szCs w:val="32"/>
        </w:rPr>
        <w:t>出口</w:t>
      </w:r>
      <w:r>
        <w:rPr>
          <w:rFonts w:ascii="仿宋_GB2312" w:eastAsia="仿宋_GB2312" w:hAnsiTheme="minorEastAsia"/>
          <w:sz w:val="32"/>
          <w:szCs w:val="32"/>
        </w:rPr>
        <w:t>前四位国别（地区）为香港</w:t>
      </w:r>
      <w:r>
        <w:rPr>
          <w:rFonts w:hint="eastAsia" w:ascii="仿宋_GB2312" w:eastAsia="仿宋_GB2312" w:hAnsiTheme="minorEastAsia"/>
          <w:sz w:val="32"/>
          <w:szCs w:val="32"/>
        </w:rPr>
        <w:t>、</w:t>
      </w:r>
      <w:r>
        <w:rPr>
          <w:rFonts w:ascii="仿宋_GB2312" w:eastAsia="仿宋_GB2312" w:hAnsiTheme="minorEastAsia"/>
          <w:sz w:val="32"/>
          <w:szCs w:val="32"/>
        </w:rPr>
        <w:t>东盟</w:t>
      </w:r>
      <w:r>
        <w:rPr>
          <w:rFonts w:hint="eastAsia" w:ascii="仿宋_GB2312" w:eastAsia="仿宋_GB2312" w:hAnsiTheme="minorEastAsia"/>
          <w:sz w:val="32"/>
          <w:szCs w:val="32"/>
        </w:rPr>
        <w:t>、</w:t>
      </w:r>
      <w:r>
        <w:rPr>
          <w:rFonts w:ascii="仿宋_GB2312" w:eastAsia="仿宋_GB2312" w:hAnsiTheme="minorEastAsia"/>
          <w:sz w:val="32"/>
          <w:szCs w:val="32"/>
        </w:rPr>
        <w:t>美国</w:t>
      </w:r>
      <w:r>
        <w:rPr>
          <w:rFonts w:hint="eastAsia" w:ascii="仿宋_GB2312" w:eastAsia="仿宋_GB2312" w:hAnsiTheme="minorEastAsia"/>
          <w:sz w:val="32"/>
          <w:szCs w:val="32"/>
        </w:rPr>
        <w:t>、</w:t>
      </w:r>
      <w:r>
        <w:rPr>
          <w:rFonts w:ascii="仿宋_GB2312" w:eastAsia="仿宋_GB2312" w:hAnsiTheme="minorEastAsia"/>
          <w:sz w:val="32"/>
          <w:szCs w:val="32"/>
        </w:rPr>
        <w:t>欧盟。湖南的国际经贸“朋友圈”已拓展至92个国家和地区，形成了工程机械、轨道交通、现代农业、路桥房建等“海外湘军”品牌，全省经核准的境外投资企业</w:t>
      </w:r>
      <w:r>
        <w:rPr>
          <w:rFonts w:hint="eastAsia" w:ascii="仿宋_GB2312" w:eastAsia="仿宋_GB2312" w:hAnsiTheme="minorEastAsia"/>
          <w:sz w:val="32"/>
          <w:szCs w:val="32"/>
        </w:rPr>
        <w:t>超过</w:t>
      </w:r>
      <w:r>
        <w:rPr>
          <w:rFonts w:ascii="仿宋_GB2312" w:eastAsia="仿宋_GB2312" w:hAnsiTheme="minorEastAsia"/>
          <w:sz w:val="32"/>
          <w:szCs w:val="32"/>
        </w:rPr>
        <w:t>14</w:t>
      </w:r>
      <w:r>
        <w:rPr>
          <w:rFonts w:hint="eastAsia" w:ascii="仿宋_GB2312" w:eastAsia="仿宋_GB2312" w:hAnsiTheme="minorEastAsia"/>
          <w:sz w:val="32"/>
          <w:szCs w:val="32"/>
        </w:rPr>
        <w:t>0</w:t>
      </w:r>
      <w:r>
        <w:rPr>
          <w:rFonts w:ascii="仿宋_GB2312" w:eastAsia="仿宋_GB2312" w:hAnsiTheme="minorEastAsia"/>
          <w:sz w:val="32"/>
          <w:szCs w:val="32"/>
        </w:rPr>
        <w:t>0家。在湘投资的世界500强企业达到193家</w:t>
      </w:r>
      <w:r>
        <w:rPr>
          <w:rFonts w:hint="eastAsia" w:ascii="仿宋_GB2312" w:eastAsia="仿宋_GB2312" w:hAnsiTheme="minorEastAsia"/>
          <w:sz w:val="32"/>
          <w:szCs w:val="32"/>
        </w:rPr>
        <w:t>，改革开放四十年</w:t>
      </w:r>
      <w:r>
        <w:rPr>
          <w:rFonts w:ascii="仿宋_GB2312" w:eastAsia="仿宋_GB2312" w:hAnsiTheme="minorEastAsia"/>
          <w:sz w:val="32"/>
          <w:szCs w:val="32"/>
        </w:rPr>
        <w:t>利用外商直接投资</w:t>
      </w:r>
      <w:r>
        <w:rPr>
          <w:rFonts w:hint="eastAsia" w:ascii="仿宋_GB2312" w:eastAsia="仿宋_GB2312" w:hAnsiTheme="minorEastAsia"/>
          <w:sz w:val="32"/>
          <w:szCs w:val="32"/>
        </w:rPr>
        <w:t>超过</w:t>
      </w:r>
      <w:r>
        <w:rPr>
          <w:rFonts w:ascii="仿宋_GB2312" w:eastAsia="仿宋_GB2312" w:hAnsiTheme="minorEastAsia"/>
          <w:sz w:val="32"/>
          <w:szCs w:val="32"/>
        </w:rPr>
        <w:t>10</w:t>
      </w:r>
      <w:r>
        <w:rPr>
          <w:rFonts w:hint="eastAsia" w:ascii="仿宋_GB2312" w:eastAsia="仿宋_GB2312" w:hAnsiTheme="minorEastAsia"/>
          <w:sz w:val="32"/>
          <w:szCs w:val="32"/>
        </w:rPr>
        <w:t>0</w:t>
      </w:r>
      <w:r>
        <w:rPr>
          <w:rFonts w:ascii="仿宋_GB2312" w:eastAsia="仿宋_GB2312" w:hAnsiTheme="minorEastAsia"/>
          <w:sz w:val="32"/>
          <w:szCs w:val="32"/>
        </w:rPr>
        <w:t>0亿美元。</w:t>
      </w:r>
    </w:p>
    <w:p>
      <w:pPr>
        <w:pStyle w:val="6"/>
        <w:spacing w:line="360" w:lineRule="auto"/>
        <w:ind w:firstLine="0" w:firstLineChars="0"/>
        <w:jc w:val="center"/>
        <w:rPr>
          <w:rFonts w:asciiTheme="minorEastAsia" w:hAnsiTheme="minorEastAsia" w:eastAsiaTheme="minorEastAsia"/>
          <w:sz w:val="28"/>
        </w:rPr>
      </w:pPr>
      <w:r>
        <w:rPr>
          <w:rFonts w:hint="eastAsia" w:asciiTheme="minorEastAsia" w:hAnsiTheme="minorEastAsia"/>
          <w:sz w:val="28"/>
        </w:rPr>
        <w:drawing>
          <wp:inline distT="0" distB="0" distL="0" distR="0">
            <wp:extent cx="4850130" cy="1995170"/>
            <wp:effectExtent l="1905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srcRect/>
                    <a:stretch>
                      <a:fillRect/>
                    </a:stretch>
                  </pic:blipFill>
                  <pic:spPr>
                    <a:xfrm>
                      <a:off x="0" y="0"/>
                      <a:ext cx="4850130" cy="1995307"/>
                    </a:xfrm>
                    <a:prstGeom prst="rect">
                      <a:avLst/>
                    </a:prstGeom>
                    <a:noFill/>
                    <a:ln w="9525">
                      <a:noFill/>
                      <a:miter lim="800000"/>
                      <a:headEnd/>
                      <a:tailEnd/>
                    </a:ln>
                  </pic:spPr>
                </pic:pic>
              </a:graphicData>
            </a:graphic>
          </wp:inline>
        </w:drawing>
      </w:r>
    </w:p>
    <w:p>
      <w:pPr>
        <w:spacing w:line="360" w:lineRule="auto"/>
        <w:jc w:val="center"/>
        <w:rPr>
          <w:rFonts w:asciiTheme="minorEastAsia" w:hAnsiTheme="minorEastAsia"/>
          <w:b/>
          <w:sz w:val="24"/>
          <w:szCs w:val="24"/>
        </w:rPr>
      </w:pPr>
      <w:r>
        <w:rPr>
          <w:rFonts w:hint="eastAsia" w:asciiTheme="minorEastAsia" w:hAnsiTheme="minorEastAsia"/>
          <w:b/>
          <w:sz w:val="24"/>
          <w:szCs w:val="24"/>
        </w:rPr>
        <w:t>图1</w:t>
      </w:r>
      <w:r>
        <w:rPr>
          <w:rFonts w:asciiTheme="minorEastAsia" w:hAnsiTheme="minorEastAsia"/>
          <w:b/>
          <w:sz w:val="24"/>
          <w:szCs w:val="24"/>
        </w:rPr>
        <w:t>-</w:t>
      </w:r>
      <w:r>
        <w:rPr>
          <w:rFonts w:hint="eastAsia" w:asciiTheme="minorEastAsia" w:hAnsiTheme="minorEastAsia"/>
          <w:b/>
          <w:sz w:val="24"/>
          <w:szCs w:val="24"/>
        </w:rPr>
        <w:t>2 2018年湖南省进出口总值</w:t>
      </w:r>
    </w:p>
    <w:p>
      <w:pPr>
        <w:pStyle w:val="4"/>
        <w:rPr>
          <w:rFonts w:ascii="仿宋_GB2312" w:eastAsia="仿宋_GB2312" w:hAnsiTheme="minorEastAsia"/>
          <w:b w:val="0"/>
        </w:rPr>
      </w:pPr>
      <w:bookmarkStart w:id="11" w:name="_Toc7299986"/>
      <w:r>
        <w:rPr>
          <w:rFonts w:hint="eastAsia" w:ascii="仿宋_GB2312" w:eastAsia="仿宋_GB2312" w:cs="Times New Roman" w:hAnsiTheme="minorEastAsia"/>
          <w:bCs w:val="0"/>
        </w:rPr>
        <w:t>1</w:t>
      </w:r>
      <w:r>
        <w:rPr>
          <w:rFonts w:ascii="仿宋_GB2312" w:eastAsia="仿宋_GB2312" w:cs="Times New Roman" w:hAnsiTheme="minorEastAsia"/>
          <w:bCs w:val="0"/>
        </w:rPr>
        <w:t>.2.2</w:t>
      </w:r>
      <w:r>
        <w:rPr>
          <w:rFonts w:hint="eastAsia" w:ascii="仿宋_GB2312" w:eastAsia="仿宋_GB2312" w:cs="Times New Roman" w:hAnsiTheme="minorEastAsia"/>
          <w:bCs w:val="0"/>
        </w:rPr>
        <w:t>产业空间布局</w:t>
      </w:r>
      <w:bookmarkEnd w:id="11"/>
    </w:p>
    <w:p>
      <w:pPr>
        <w:pStyle w:val="6"/>
        <w:adjustRightInd w:val="0"/>
        <w:snapToGrid w:val="0"/>
        <w:spacing w:line="560" w:lineRule="exact"/>
        <w:ind w:firstLine="640" w:firstLineChars="200"/>
        <w:rPr>
          <w:rFonts w:ascii="仿宋_GB2312" w:eastAsia="仿宋_GB2312" w:hAnsiTheme="minorEastAsia"/>
          <w:sz w:val="32"/>
          <w:szCs w:val="32"/>
        </w:rPr>
      </w:pPr>
      <w:bookmarkStart w:id="12" w:name="_Toc6551631"/>
      <w:r>
        <w:rPr>
          <w:rFonts w:hint="eastAsia" w:ascii="仿宋_GB2312" w:eastAsia="仿宋_GB2312" w:hAnsiTheme="minorEastAsia"/>
          <w:sz w:val="32"/>
          <w:szCs w:val="32"/>
        </w:rPr>
        <w:t>近年来，湖南加快了全省产业空间布局步伐，提出</w:t>
      </w:r>
      <w:r>
        <w:rPr>
          <w:rFonts w:ascii="仿宋_GB2312" w:eastAsia="仿宋_GB2312" w:hAnsiTheme="minorEastAsia"/>
          <w:sz w:val="32"/>
          <w:szCs w:val="32"/>
        </w:rPr>
        <w:t>加快建设“一核</w:t>
      </w:r>
      <w:r>
        <w:rPr>
          <w:rFonts w:hint="eastAsia" w:ascii="仿宋_GB2312" w:eastAsia="仿宋_GB2312" w:hAnsiTheme="minorEastAsia"/>
          <w:sz w:val="32"/>
          <w:szCs w:val="32"/>
        </w:rPr>
        <w:t>（长株潭）</w:t>
      </w:r>
      <w:r>
        <w:rPr>
          <w:rFonts w:ascii="仿宋_GB2312" w:eastAsia="仿宋_GB2312" w:hAnsiTheme="minorEastAsia"/>
          <w:sz w:val="32"/>
          <w:szCs w:val="32"/>
        </w:rPr>
        <w:t>三极</w:t>
      </w:r>
      <w:r>
        <w:rPr>
          <w:rFonts w:hint="eastAsia" w:ascii="仿宋_GB2312" w:eastAsia="仿宋_GB2312" w:hAnsiTheme="minorEastAsia"/>
          <w:sz w:val="32"/>
          <w:szCs w:val="32"/>
        </w:rPr>
        <w:t>（岳阳、郴州、怀化）</w:t>
      </w:r>
      <w:r>
        <w:rPr>
          <w:rFonts w:ascii="仿宋_GB2312" w:eastAsia="仿宋_GB2312" w:hAnsiTheme="minorEastAsia"/>
          <w:sz w:val="32"/>
          <w:szCs w:val="32"/>
        </w:rPr>
        <w:t>”</w:t>
      </w:r>
      <w:r>
        <w:rPr>
          <w:rFonts w:hint="eastAsia" w:ascii="仿宋_GB2312" w:eastAsia="仿宋_GB2312" w:hAnsiTheme="minorEastAsia"/>
          <w:sz w:val="32"/>
          <w:szCs w:val="32"/>
        </w:rPr>
        <w:t>，</w:t>
      </w:r>
      <w:r>
        <w:rPr>
          <w:rFonts w:ascii="仿宋_GB2312" w:eastAsia="仿宋_GB2312" w:hAnsiTheme="minorEastAsia"/>
          <w:sz w:val="32"/>
          <w:szCs w:val="32"/>
        </w:rPr>
        <w:t>辐射联动“四带多点”</w:t>
      </w:r>
      <w:r>
        <w:rPr>
          <w:rFonts w:hint="eastAsia" w:ascii="仿宋_GB2312" w:eastAsia="仿宋_GB2312" w:hAnsiTheme="minorEastAsia"/>
          <w:sz w:val="32"/>
          <w:szCs w:val="32"/>
        </w:rPr>
        <w:t>，</w:t>
      </w:r>
      <w:r>
        <w:rPr>
          <w:rFonts w:ascii="仿宋_GB2312" w:eastAsia="仿宋_GB2312" w:hAnsiTheme="minorEastAsia"/>
          <w:sz w:val="32"/>
          <w:szCs w:val="32"/>
        </w:rPr>
        <w:t>增强区域发展新动能</w:t>
      </w:r>
      <w:r>
        <w:rPr>
          <w:rFonts w:hint="eastAsia" w:ascii="仿宋_GB2312" w:eastAsia="仿宋_GB2312" w:hAnsiTheme="minorEastAsia"/>
          <w:sz w:val="32"/>
          <w:szCs w:val="32"/>
        </w:rPr>
        <w:t>。</w:t>
      </w:r>
      <w:r>
        <w:rPr>
          <w:rFonts w:ascii="仿宋_GB2312" w:eastAsia="仿宋_GB2312" w:hAnsiTheme="minorEastAsia"/>
          <w:sz w:val="32"/>
          <w:szCs w:val="32"/>
        </w:rPr>
        <w:t>以产业发展、基础设施、城镇群、生态建设为重点，着力打造“一核引领、三极支撑，核极共振、联动辐射”的区域发展新格局。到2020年，“一核三极”经济总量占全省比重提高到68%左右，在国内区域竞争中的比较优势进一步提升。</w:t>
      </w:r>
    </w:p>
    <w:p>
      <w:pPr>
        <w:pStyle w:val="6"/>
        <w:adjustRightInd w:val="0"/>
        <w:snapToGri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长株潭，依托长株潭“两型”社会试验区、湘江新区、国家自主创新示范区，做大做强高端装备制造、信息安全、新材料、生物医药、汽车、食品、节能环保、现代金融、研发设计、文化创意、现代物流等产业，建设全国先进制造业中心、高技术产业基地、中部地区现代服务业中心和具有全球影响力的区域创新高地。</w:t>
      </w:r>
    </w:p>
    <w:p>
      <w:pPr>
        <w:pStyle w:val="6"/>
        <w:adjustRightInd w:val="0"/>
        <w:snapToGri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岳阳市，发挥湖区资源、航运优势和产业基础，全面参与长江经济带和洞庭湖生态经济圈建设，加快建设岳阳经济走廊，壮大临港产业，重点发展石化、能源、食品、住宅产业化、现代物流（港口物流）等产业，打造全省重要的能源、石化、食品基地和长江中游区域性航运物流中心。</w:t>
      </w:r>
    </w:p>
    <w:p>
      <w:pPr>
        <w:pStyle w:val="6"/>
        <w:adjustRightInd w:val="0"/>
        <w:snapToGrid w:val="0"/>
        <w:spacing w:line="560" w:lineRule="exact"/>
        <w:ind w:firstLine="626" w:firstLineChars="200"/>
        <w:rPr>
          <w:rFonts w:ascii="仿宋_GB2312" w:eastAsia="仿宋_GB2312" w:hAnsiTheme="minorEastAsia"/>
          <w:w w:val="98"/>
          <w:sz w:val="32"/>
          <w:szCs w:val="32"/>
        </w:rPr>
      </w:pPr>
      <w:r>
        <w:rPr>
          <w:rFonts w:ascii="仿宋_GB2312" w:eastAsia="仿宋_GB2312" w:hAnsiTheme="minorEastAsia"/>
          <w:w w:val="98"/>
          <w:sz w:val="32"/>
          <w:szCs w:val="32"/>
        </w:rPr>
        <w:t>郴州市，全面对接珠三角和东盟，重点发展有色金属、新材料、新一代信息技术、住宅产业化、休闲度假旅游、会展服务业等产业，建设中部地区产业承接重要平台、有色金属精深加工基地、国际生态休闲度假旅游目的地和湘粤开放合作试验区。</w:t>
      </w:r>
    </w:p>
    <w:p>
      <w:pPr>
        <w:pStyle w:val="6"/>
        <w:adjustRightInd w:val="0"/>
        <w:snapToGri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怀化市，立足区域性交通枢纽和生态优势，全面对接成渝城市群，深化与桂、黔、渝、鄂四省边区区域性中心城市合作，重点发展特色农产品、现代物流（边贸物流）、健康养老（养老养生）、生态文化旅游等4大产业，建设辐射大西南的现代商贸物流基地、健康养老产业重点示范区、生态文化旅游目的地和特色农产品产业基地。</w:t>
      </w:r>
    </w:p>
    <w:p>
      <w:pPr>
        <w:spacing w:line="360" w:lineRule="auto"/>
        <w:jc w:val="center"/>
        <w:rPr>
          <w:rFonts w:asciiTheme="minorEastAsia" w:hAnsiTheme="minorEastAsia"/>
          <w:sz w:val="28"/>
          <w:szCs w:val="28"/>
        </w:rPr>
      </w:pPr>
      <w:r>
        <w:rPr>
          <w:rFonts w:hint="eastAsia" w:asciiTheme="minorEastAsia" w:hAnsiTheme="minorEastAsia"/>
          <w:sz w:val="28"/>
          <w:szCs w:val="28"/>
        </w:rPr>
        <w:drawing>
          <wp:inline distT="0" distB="0" distL="0" distR="0">
            <wp:extent cx="4509770" cy="4182110"/>
            <wp:effectExtent l="19050" t="19050" r="24130" b="27328"/>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srcRect/>
                    <a:stretch>
                      <a:fillRect/>
                    </a:stretch>
                  </pic:blipFill>
                  <pic:spPr>
                    <a:xfrm>
                      <a:off x="0" y="0"/>
                      <a:ext cx="4523619" cy="4195567"/>
                    </a:xfrm>
                    <a:prstGeom prst="rect">
                      <a:avLst/>
                    </a:prstGeom>
                    <a:noFill/>
                    <a:ln w="9525">
                      <a:solidFill>
                        <a:sysClr val="windowText" lastClr="000000"/>
                      </a:solidFill>
                      <a:miter lim="800000"/>
                      <a:headEnd/>
                      <a:tailEnd/>
                    </a:ln>
                  </pic:spPr>
                </pic:pic>
              </a:graphicData>
            </a:graphic>
          </wp:inline>
        </w:drawing>
      </w:r>
    </w:p>
    <w:p>
      <w:pPr>
        <w:spacing w:line="360" w:lineRule="auto"/>
        <w:jc w:val="center"/>
        <w:rPr>
          <w:rFonts w:asciiTheme="minorEastAsia" w:hAnsiTheme="minorEastAsia"/>
          <w:b/>
          <w:sz w:val="24"/>
          <w:szCs w:val="24"/>
        </w:rPr>
      </w:pPr>
      <w:r>
        <w:rPr>
          <w:rFonts w:hint="eastAsia" w:asciiTheme="minorEastAsia" w:hAnsiTheme="minorEastAsia"/>
          <w:b/>
          <w:sz w:val="24"/>
          <w:szCs w:val="24"/>
        </w:rPr>
        <w:t>图1</w:t>
      </w:r>
      <w:r>
        <w:rPr>
          <w:rFonts w:asciiTheme="minorEastAsia" w:hAnsiTheme="minorEastAsia"/>
          <w:b/>
          <w:sz w:val="24"/>
          <w:szCs w:val="24"/>
        </w:rPr>
        <w:t>-</w:t>
      </w:r>
      <w:r>
        <w:rPr>
          <w:rFonts w:hint="eastAsia" w:asciiTheme="minorEastAsia" w:hAnsiTheme="minorEastAsia"/>
          <w:b/>
          <w:sz w:val="24"/>
          <w:szCs w:val="24"/>
        </w:rPr>
        <w:t>3  湖南省产业空间布局</w:t>
      </w:r>
    </w:p>
    <w:p>
      <w:pPr>
        <w:pStyle w:val="6"/>
        <w:adjustRightInd w:val="0"/>
        <w:snapToGrid w:val="0"/>
        <w:spacing w:line="600" w:lineRule="exact"/>
        <w:ind w:firstLine="640" w:firstLineChars="200"/>
        <w:rPr>
          <w:rFonts w:ascii="仿宋_GB2312" w:eastAsia="仿宋_GB2312" w:hAnsiTheme="minorEastAsia"/>
          <w:sz w:val="32"/>
          <w:szCs w:val="32"/>
        </w:rPr>
        <w:sectPr>
          <w:footerReference r:id="rId5" w:type="default"/>
          <w:pgSz w:w="11906" w:h="16838"/>
          <w:pgMar w:top="1440" w:right="1800" w:bottom="1440" w:left="1800" w:header="851" w:footer="992" w:gutter="0"/>
          <w:pgNumType w:start="1"/>
          <w:cols w:space="425" w:num="1"/>
          <w:docGrid w:type="lines" w:linePitch="312" w:charSpace="0"/>
        </w:sectPr>
      </w:pPr>
    </w:p>
    <w:p>
      <w:pPr>
        <w:spacing w:line="360" w:lineRule="auto"/>
        <w:jc w:val="center"/>
        <w:rPr>
          <w:rFonts w:asciiTheme="minorEastAsia" w:hAnsiTheme="minorEastAsia"/>
          <w:b/>
          <w:sz w:val="24"/>
          <w:szCs w:val="24"/>
        </w:rPr>
      </w:pPr>
      <w:r>
        <w:rPr>
          <w:rFonts w:hint="eastAsia" w:asciiTheme="minorEastAsia" w:hAnsiTheme="minorEastAsia"/>
          <w:b/>
          <w:sz w:val="24"/>
          <w:szCs w:val="24"/>
        </w:rPr>
        <w:t>表1-1  湖南省产业空间规划表</w:t>
      </w:r>
    </w:p>
    <w:tbl>
      <w:tblPr>
        <w:tblStyle w:val="17"/>
        <w:tblW w:w="146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418"/>
        <w:gridCol w:w="8857"/>
        <w:gridCol w:w="3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271" w:type="dxa"/>
            <w:vAlign w:val="center"/>
          </w:tcPr>
          <w:p>
            <w:pPr>
              <w:jc w:val="center"/>
              <w:rPr>
                <w:rFonts w:ascii="黑体" w:hAnsi="黑体" w:eastAsia="黑体"/>
                <w:szCs w:val="21"/>
              </w:rPr>
            </w:pPr>
            <w:r>
              <w:rPr>
                <w:rFonts w:hint="eastAsia" w:ascii="黑体" w:hAnsi="黑体" w:eastAsia="黑体"/>
                <w:szCs w:val="21"/>
              </w:rPr>
              <w:t>总体布局</w:t>
            </w:r>
          </w:p>
        </w:tc>
        <w:tc>
          <w:tcPr>
            <w:tcW w:w="1418" w:type="dxa"/>
            <w:vAlign w:val="center"/>
          </w:tcPr>
          <w:p>
            <w:pPr>
              <w:jc w:val="center"/>
              <w:rPr>
                <w:rFonts w:ascii="黑体" w:hAnsi="黑体" w:eastAsia="黑体"/>
                <w:szCs w:val="21"/>
              </w:rPr>
            </w:pPr>
            <w:r>
              <w:rPr>
                <w:rFonts w:hint="eastAsia" w:ascii="黑体" w:hAnsi="黑体" w:eastAsia="黑体"/>
                <w:szCs w:val="21"/>
              </w:rPr>
              <w:t>重点区域</w:t>
            </w:r>
          </w:p>
        </w:tc>
        <w:tc>
          <w:tcPr>
            <w:tcW w:w="8857" w:type="dxa"/>
            <w:vAlign w:val="center"/>
          </w:tcPr>
          <w:p>
            <w:pPr>
              <w:jc w:val="center"/>
              <w:rPr>
                <w:rFonts w:ascii="黑体" w:hAnsi="黑体" w:eastAsia="黑体"/>
                <w:szCs w:val="21"/>
              </w:rPr>
            </w:pPr>
            <w:r>
              <w:rPr>
                <w:rFonts w:hint="eastAsia" w:ascii="黑体" w:hAnsi="黑体" w:eastAsia="黑体"/>
                <w:szCs w:val="21"/>
              </w:rPr>
              <w:t>重点产业</w:t>
            </w:r>
          </w:p>
        </w:tc>
        <w:tc>
          <w:tcPr>
            <w:tcW w:w="3090" w:type="dxa"/>
            <w:vAlign w:val="center"/>
          </w:tcPr>
          <w:p>
            <w:pPr>
              <w:jc w:val="center"/>
              <w:rPr>
                <w:rFonts w:ascii="黑体" w:hAnsi="黑体" w:eastAsia="黑体"/>
                <w:szCs w:val="21"/>
              </w:rPr>
            </w:pPr>
            <w:r>
              <w:rPr>
                <w:rFonts w:hint="eastAsia" w:ascii="黑体" w:hAnsi="黑体" w:eastAsia="黑体"/>
                <w:szCs w:val="21"/>
              </w:rPr>
              <w:t>重点园区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vAlign w:val="center"/>
          </w:tcPr>
          <w:p>
            <w:pPr>
              <w:jc w:val="center"/>
              <w:rPr>
                <w:rFonts w:asciiTheme="minorEastAsia" w:hAnsiTheme="minorEastAsia"/>
                <w:szCs w:val="21"/>
              </w:rPr>
            </w:pPr>
            <w:r>
              <w:rPr>
                <w:rFonts w:hint="eastAsia" w:asciiTheme="minorEastAsia" w:hAnsiTheme="minorEastAsia"/>
                <w:szCs w:val="21"/>
              </w:rPr>
              <w:t>“一核”</w:t>
            </w:r>
          </w:p>
        </w:tc>
        <w:tc>
          <w:tcPr>
            <w:tcW w:w="1418" w:type="dxa"/>
            <w:vAlign w:val="center"/>
          </w:tcPr>
          <w:p>
            <w:pPr>
              <w:jc w:val="center"/>
              <w:rPr>
                <w:rFonts w:asciiTheme="minorEastAsia" w:hAnsiTheme="minorEastAsia"/>
                <w:szCs w:val="21"/>
              </w:rPr>
            </w:pPr>
            <w:r>
              <w:rPr>
                <w:rFonts w:hint="eastAsia" w:asciiTheme="minorEastAsia" w:hAnsiTheme="minorEastAsia"/>
                <w:szCs w:val="21"/>
              </w:rPr>
              <w:t>长株潭核心增长极</w:t>
            </w:r>
          </w:p>
        </w:tc>
        <w:tc>
          <w:tcPr>
            <w:tcW w:w="8857" w:type="dxa"/>
            <w:vAlign w:val="center"/>
          </w:tcPr>
          <w:p>
            <w:pPr>
              <w:rPr>
                <w:rFonts w:asciiTheme="minorEastAsia" w:hAnsiTheme="minorEastAsia"/>
                <w:szCs w:val="21"/>
              </w:rPr>
            </w:pPr>
            <w:r>
              <w:rPr>
                <w:rFonts w:hint="eastAsia" w:asciiTheme="minorEastAsia" w:hAnsiTheme="minorEastAsia"/>
                <w:szCs w:val="21"/>
              </w:rPr>
              <w:t>立足长株潭“两型”社会试验区、国家级湘江新区、国家自主创新示范区、建设具有国际竞争力的全国重要先进制造业中心、高新技术产业基地和中部地区现代服务业中心。</w:t>
            </w:r>
          </w:p>
          <w:p>
            <w:pPr>
              <w:rPr>
                <w:rFonts w:asciiTheme="minorEastAsia" w:hAnsiTheme="minorEastAsia"/>
                <w:szCs w:val="21"/>
              </w:rPr>
            </w:pPr>
            <w:r>
              <w:rPr>
                <w:rFonts w:hint="eastAsia" w:asciiTheme="minorEastAsia" w:hAnsiTheme="minorEastAsia"/>
                <w:szCs w:val="21"/>
              </w:rPr>
              <w:t>——长沙市。高端装备制造（工程机械、机器人及智能制造装备）、汽车、新一代信息技术（信息安全、移动互联网、基础电子）、新材料、生物（精准医疗、高端医疗设备、生物农业）、节能环保、现代金融、研发设计、文化创意。</w:t>
            </w:r>
          </w:p>
          <w:p>
            <w:pPr>
              <w:rPr>
                <w:rFonts w:asciiTheme="minorEastAsia" w:hAnsiTheme="minorEastAsia"/>
                <w:szCs w:val="21"/>
              </w:rPr>
            </w:pPr>
            <w:r>
              <w:rPr>
                <w:rFonts w:hint="eastAsia" w:asciiTheme="minorEastAsia" w:hAnsiTheme="minorEastAsia"/>
                <w:szCs w:val="21"/>
              </w:rPr>
              <w:t>——株洲市。高端装备制造（轨道交通设备、航空航天）、汽车（节能与新能源汽车）、新材料（先进硬质材料、新型复合材料）、新一代信息技术（集成电路、自主可控计算机）、现代物流（铁路物流）。</w:t>
            </w:r>
          </w:p>
          <w:p>
            <w:pPr>
              <w:rPr>
                <w:rFonts w:asciiTheme="minorEastAsia" w:hAnsiTheme="minorEastAsia"/>
                <w:szCs w:val="21"/>
              </w:rPr>
            </w:pPr>
            <w:r>
              <w:rPr>
                <w:rFonts w:hint="eastAsia" w:asciiTheme="minorEastAsia" w:hAnsiTheme="minorEastAsia"/>
                <w:szCs w:val="21"/>
              </w:rPr>
              <w:t>——湘潭市。高端装备制造（电工电器及新能源装备、海工装备）、汽车（汽车零部件）、新材料（金属新材料）、食品、现代物流（商贸）。</w:t>
            </w:r>
          </w:p>
        </w:tc>
        <w:tc>
          <w:tcPr>
            <w:tcW w:w="3090" w:type="dxa"/>
            <w:vAlign w:val="center"/>
          </w:tcPr>
          <w:p>
            <w:pPr>
              <w:jc w:val="center"/>
              <w:rPr>
                <w:rFonts w:asciiTheme="minorEastAsia" w:hAnsiTheme="minorEastAsia"/>
                <w:szCs w:val="21"/>
              </w:rPr>
            </w:pPr>
            <w:r>
              <w:rPr>
                <w:rFonts w:hint="eastAsia" w:asciiTheme="minorEastAsia" w:hAnsiTheme="minorEastAsia"/>
                <w:szCs w:val="21"/>
              </w:rPr>
              <w:t>长沙经济技术开发区</w:t>
            </w:r>
          </w:p>
          <w:p>
            <w:pPr>
              <w:jc w:val="center"/>
              <w:rPr>
                <w:rFonts w:asciiTheme="minorEastAsia" w:hAnsiTheme="minorEastAsia"/>
                <w:szCs w:val="21"/>
              </w:rPr>
            </w:pPr>
            <w:r>
              <w:rPr>
                <w:rFonts w:hint="eastAsia" w:asciiTheme="minorEastAsia" w:hAnsiTheme="minorEastAsia"/>
                <w:szCs w:val="21"/>
              </w:rPr>
              <w:t>长沙高新技术开发区</w:t>
            </w:r>
          </w:p>
          <w:p>
            <w:pPr>
              <w:jc w:val="center"/>
              <w:rPr>
                <w:rFonts w:asciiTheme="minorEastAsia" w:hAnsiTheme="minorEastAsia"/>
                <w:szCs w:val="21"/>
              </w:rPr>
            </w:pPr>
            <w:r>
              <w:rPr>
                <w:rFonts w:hint="eastAsia" w:asciiTheme="minorEastAsia" w:hAnsiTheme="minorEastAsia"/>
                <w:szCs w:val="21"/>
              </w:rPr>
              <w:t>浏阳经济技术开发区</w:t>
            </w:r>
          </w:p>
          <w:p>
            <w:pPr>
              <w:jc w:val="center"/>
              <w:rPr>
                <w:rFonts w:asciiTheme="minorEastAsia" w:hAnsiTheme="minorEastAsia"/>
                <w:szCs w:val="21"/>
              </w:rPr>
            </w:pPr>
            <w:r>
              <w:rPr>
                <w:rFonts w:hint="eastAsia" w:asciiTheme="minorEastAsia" w:hAnsiTheme="minorEastAsia"/>
                <w:szCs w:val="21"/>
              </w:rPr>
              <w:t>宁乡经济技术开发区</w:t>
            </w:r>
          </w:p>
          <w:p>
            <w:pPr>
              <w:jc w:val="center"/>
              <w:rPr>
                <w:rFonts w:asciiTheme="minorEastAsia" w:hAnsiTheme="minorEastAsia"/>
                <w:szCs w:val="21"/>
              </w:rPr>
            </w:pPr>
            <w:r>
              <w:rPr>
                <w:rFonts w:hint="eastAsia" w:asciiTheme="minorEastAsia" w:hAnsiTheme="minorEastAsia"/>
                <w:szCs w:val="21"/>
              </w:rPr>
              <w:t>湖南望城经济开发区</w:t>
            </w:r>
          </w:p>
          <w:p>
            <w:pPr>
              <w:jc w:val="center"/>
              <w:rPr>
                <w:rFonts w:asciiTheme="minorEastAsia" w:hAnsiTheme="minorEastAsia"/>
                <w:szCs w:val="21"/>
              </w:rPr>
            </w:pPr>
            <w:r>
              <w:rPr>
                <w:rFonts w:hint="eastAsia" w:asciiTheme="minorEastAsia" w:hAnsiTheme="minorEastAsia"/>
                <w:szCs w:val="21"/>
              </w:rPr>
              <w:t>株洲高新技术产业开发区</w:t>
            </w:r>
          </w:p>
          <w:p>
            <w:pPr>
              <w:jc w:val="center"/>
              <w:rPr>
                <w:rFonts w:asciiTheme="minorEastAsia" w:hAnsiTheme="minorEastAsia"/>
                <w:szCs w:val="21"/>
              </w:rPr>
            </w:pPr>
            <w:r>
              <w:rPr>
                <w:rFonts w:hint="eastAsia" w:asciiTheme="minorEastAsia" w:hAnsiTheme="minorEastAsia"/>
                <w:szCs w:val="21"/>
              </w:rPr>
              <w:t>湘潭经济技术开发区</w:t>
            </w:r>
          </w:p>
          <w:p>
            <w:pPr>
              <w:jc w:val="center"/>
              <w:rPr>
                <w:rFonts w:asciiTheme="minorEastAsia" w:hAnsiTheme="minorEastAsia"/>
                <w:szCs w:val="21"/>
              </w:rPr>
            </w:pPr>
            <w:r>
              <w:rPr>
                <w:rFonts w:hint="eastAsia" w:asciiTheme="minorEastAsia" w:hAnsiTheme="minorEastAsia"/>
                <w:szCs w:val="21"/>
              </w:rPr>
              <w:t>湘潭高新技术产业开发区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vMerge w:val="restart"/>
            <w:vAlign w:val="center"/>
          </w:tcPr>
          <w:p>
            <w:pPr>
              <w:jc w:val="center"/>
              <w:rPr>
                <w:rFonts w:asciiTheme="minorEastAsia" w:hAnsiTheme="minorEastAsia"/>
                <w:szCs w:val="21"/>
              </w:rPr>
            </w:pPr>
            <w:r>
              <w:rPr>
                <w:rFonts w:hint="eastAsia" w:asciiTheme="minorEastAsia" w:hAnsiTheme="minorEastAsia"/>
                <w:szCs w:val="21"/>
              </w:rPr>
              <w:t>“三极”</w:t>
            </w:r>
          </w:p>
        </w:tc>
        <w:tc>
          <w:tcPr>
            <w:tcW w:w="1418" w:type="dxa"/>
            <w:vAlign w:val="center"/>
          </w:tcPr>
          <w:p>
            <w:pPr>
              <w:jc w:val="center"/>
              <w:rPr>
                <w:rFonts w:asciiTheme="minorEastAsia" w:hAnsiTheme="minorEastAsia"/>
                <w:szCs w:val="21"/>
              </w:rPr>
            </w:pPr>
            <w:r>
              <w:rPr>
                <w:rFonts w:hint="eastAsia" w:asciiTheme="minorEastAsia" w:hAnsiTheme="minorEastAsia"/>
                <w:szCs w:val="21"/>
              </w:rPr>
              <w:t>岳阳增长极</w:t>
            </w:r>
          </w:p>
        </w:tc>
        <w:tc>
          <w:tcPr>
            <w:tcW w:w="8857" w:type="dxa"/>
            <w:vAlign w:val="center"/>
          </w:tcPr>
          <w:p>
            <w:pPr>
              <w:rPr>
                <w:rFonts w:asciiTheme="minorEastAsia" w:hAnsiTheme="minorEastAsia"/>
                <w:szCs w:val="21"/>
              </w:rPr>
            </w:pPr>
            <w:r>
              <w:rPr>
                <w:rFonts w:hint="eastAsia" w:asciiTheme="minorEastAsia" w:hAnsiTheme="minorEastAsia"/>
                <w:szCs w:val="21"/>
              </w:rPr>
              <w:t>立足湖区资源优势和产业基础，打造全国重要的石化、食品、能源基地和长江中游区域性物流航运中心。</w:t>
            </w:r>
          </w:p>
          <w:p>
            <w:pPr>
              <w:rPr>
                <w:rFonts w:asciiTheme="minorEastAsia" w:hAnsiTheme="minorEastAsia"/>
                <w:szCs w:val="21"/>
              </w:rPr>
            </w:pPr>
            <w:r>
              <w:rPr>
                <w:rFonts w:hint="eastAsia" w:asciiTheme="minorEastAsia" w:hAnsiTheme="minorEastAsia"/>
                <w:szCs w:val="21"/>
              </w:rPr>
              <w:t>——岳阳市。石化、食品、能源、住宅产业化、现代物流（港口物流）。</w:t>
            </w:r>
          </w:p>
        </w:tc>
        <w:tc>
          <w:tcPr>
            <w:tcW w:w="3090" w:type="dxa"/>
            <w:vAlign w:val="center"/>
          </w:tcPr>
          <w:p>
            <w:pPr>
              <w:jc w:val="center"/>
              <w:rPr>
                <w:rFonts w:asciiTheme="minorEastAsia" w:hAnsiTheme="minorEastAsia"/>
                <w:szCs w:val="21"/>
              </w:rPr>
            </w:pPr>
            <w:r>
              <w:rPr>
                <w:rFonts w:hint="eastAsia" w:asciiTheme="minorEastAsia" w:hAnsiTheme="minorEastAsia"/>
                <w:szCs w:val="21"/>
              </w:rPr>
              <w:t>岳阳经济技术开发区</w:t>
            </w:r>
          </w:p>
          <w:p>
            <w:pPr>
              <w:jc w:val="center"/>
              <w:rPr>
                <w:rFonts w:asciiTheme="minorEastAsia" w:hAnsiTheme="minorEastAsia"/>
                <w:szCs w:val="21"/>
              </w:rPr>
            </w:pPr>
            <w:r>
              <w:rPr>
                <w:rFonts w:hint="eastAsia" w:asciiTheme="minorEastAsia" w:hAnsiTheme="minorEastAsia"/>
                <w:szCs w:val="21"/>
              </w:rPr>
              <w:t>岳阳绿色化工产业园</w:t>
            </w:r>
          </w:p>
          <w:p>
            <w:pPr>
              <w:jc w:val="center"/>
              <w:rPr>
                <w:rFonts w:asciiTheme="minorEastAsia" w:hAnsiTheme="minorEastAsia"/>
                <w:szCs w:val="21"/>
              </w:rPr>
            </w:pPr>
            <w:r>
              <w:rPr>
                <w:rFonts w:hint="eastAsia" w:asciiTheme="minorEastAsia" w:hAnsiTheme="minorEastAsia"/>
                <w:szCs w:val="21"/>
              </w:rPr>
              <w:t>岳阳城临矶“一区一港四口岸”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8" w:hRule="atLeast"/>
          <w:jc w:val="center"/>
        </w:trPr>
        <w:tc>
          <w:tcPr>
            <w:tcW w:w="1271" w:type="dxa"/>
            <w:vMerge w:val="continue"/>
            <w:vAlign w:val="center"/>
          </w:tcPr>
          <w:p>
            <w:pPr>
              <w:jc w:val="center"/>
              <w:rPr>
                <w:rFonts w:asciiTheme="minorEastAsia" w:hAnsiTheme="minorEastAsia"/>
                <w:szCs w:val="21"/>
              </w:rPr>
            </w:pPr>
          </w:p>
        </w:tc>
        <w:tc>
          <w:tcPr>
            <w:tcW w:w="1418" w:type="dxa"/>
            <w:vAlign w:val="center"/>
          </w:tcPr>
          <w:p>
            <w:pPr>
              <w:jc w:val="center"/>
              <w:rPr>
                <w:rFonts w:asciiTheme="minorEastAsia" w:hAnsiTheme="minorEastAsia"/>
                <w:szCs w:val="21"/>
              </w:rPr>
            </w:pPr>
            <w:r>
              <w:rPr>
                <w:rFonts w:hint="eastAsia" w:asciiTheme="minorEastAsia" w:hAnsiTheme="minorEastAsia"/>
                <w:szCs w:val="21"/>
              </w:rPr>
              <w:t>彬州增长极</w:t>
            </w:r>
          </w:p>
        </w:tc>
        <w:tc>
          <w:tcPr>
            <w:tcW w:w="8857" w:type="dxa"/>
            <w:vAlign w:val="center"/>
          </w:tcPr>
          <w:p>
            <w:pPr>
              <w:rPr>
                <w:rFonts w:asciiTheme="minorEastAsia" w:hAnsiTheme="minorEastAsia"/>
                <w:szCs w:val="21"/>
              </w:rPr>
            </w:pPr>
            <w:r>
              <w:rPr>
                <w:rFonts w:hint="eastAsia" w:asciiTheme="minorEastAsia" w:hAnsiTheme="minorEastAsia"/>
                <w:szCs w:val="21"/>
              </w:rPr>
              <w:t>依托现有产业基地、积极融入珠三角，建设中部地区产业承接重要平台、有色金属精加工基地和湘粤开放合作试验区。</w:t>
            </w:r>
          </w:p>
          <w:p>
            <w:pPr>
              <w:rPr>
                <w:rFonts w:asciiTheme="minorEastAsia" w:hAnsiTheme="minorEastAsia"/>
                <w:szCs w:val="21"/>
              </w:rPr>
            </w:pPr>
            <w:r>
              <w:rPr>
                <w:rFonts w:hint="eastAsia" w:asciiTheme="minorEastAsia" w:hAnsiTheme="minorEastAsia"/>
                <w:szCs w:val="21"/>
              </w:rPr>
              <w:t>——彬州市。有色金属（铅锌镍银）、新材料（金属新材料、储能新材料、高端石墨）、新一代信息技术（通信终端设备级配套）、住宅产业化、休闲度假旅游、会展服务业</w:t>
            </w:r>
          </w:p>
        </w:tc>
        <w:tc>
          <w:tcPr>
            <w:tcW w:w="3090" w:type="dxa"/>
            <w:vAlign w:val="center"/>
          </w:tcPr>
          <w:p>
            <w:pPr>
              <w:jc w:val="center"/>
              <w:rPr>
                <w:rFonts w:asciiTheme="minorEastAsia" w:hAnsiTheme="minorEastAsia"/>
                <w:szCs w:val="21"/>
              </w:rPr>
            </w:pPr>
            <w:r>
              <w:rPr>
                <w:rFonts w:hint="eastAsia" w:asciiTheme="minorEastAsia" w:hAnsiTheme="minorEastAsia"/>
                <w:szCs w:val="21"/>
              </w:rPr>
              <w:t>湖南彬州经济开发区</w:t>
            </w:r>
          </w:p>
          <w:p>
            <w:pPr>
              <w:jc w:val="center"/>
              <w:rPr>
                <w:rFonts w:asciiTheme="minorEastAsia" w:hAnsiTheme="minorEastAsia"/>
                <w:szCs w:val="21"/>
              </w:rPr>
            </w:pPr>
            <w:r>
              <w:rPr>
                <w:rFonts w:hint="eastAsia" w:asciiTheme="minorEastAsia" w:hAnsiTheme="minorEastAsia"/>
                <w:szCs w:val="21"/>
              </w:rPr>
              <w:t>彬州高新技术产业开发区</w:t>
            </w:r>
          </w:p>
          <w:p>
            <w:pPr>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1271" w:type="dxa"/>
            <w:vMerge w:val="continue"/>
            <w:vAlign w:val="center"/>
          </w:tcPr>
          <w:p>
            <w:pPr>
              <w:jc w:val="center"/>
              <w:rPr>
                <w:rFonts w:asciiTheme="minorEastAsia" w:hAnsiTheme="minorEastAsia"/>
                <w:szCs w:val="21"/>
              </w:rPr>
            </w:pPr>
          </w:p>
        </w:tc>
        <w:tc>
          <w:tcPr>
            <w:tcW w:w="1418" w:type="dxa"/>
            <w:vAlign w:val="center"/>
          </w:tcPr>
          <w:p>
            <w:pPr>
              <w:jc w:val="center"/>
              <w:rPr>
                <w:rFonts w:asciiTheme="minorEastAsia" w:hAnsiTheme="minorEastAsia"/>
                <w:szCs w:val="21"/>
              </w:rPr>
            </w:pPr>
            <w:r>
              <w:rPr>
                <w:rFonts w:hint="eastAsia" w:asciiTheme="minorEastAsia" w:hAnsiTheme="minorEastAsia"/>
                <w:szCs w:val="21"/>
              </w:rPr>
              <w:t>怀化增长极</w:t>
            </w:r>
          </w:p>
        </w:tc>
        <w:tc>
          <w:tcPr>
            <w:tcW w:w="8857" w:type="dxa"/>
            <w:vAlign w:val="center"/>
          </w:tcPr>
          <w:p>
            <w:pPr>
              <w:rPr>
                <w:rFonts w:asciiTheme="minorEastAsia" w:hAnsiTheme="minorEastAsia"/>
                <w:szCs w:val="21"/>
              </w:rPr>
            </w:pPr>
            <w:r>
              <w:rPr>
                <w:rFonts w:hint="eastAsia" w:asciiTheme="minorEastAsia" w:hAnsiTheme="minorEastAsia"/>
                <w:szCs w:val="21"/>
              </w:rPr>
              <w:t>依托区域性交通枢纽和生态优势，打造成为辐射大西南现代商贸物流基地、健康养老产业重点示范区、绿色经济样板区。</w:t>
            </w:r>
          </w:p>
          <w:p>
            <w:pPr>
              <w:rPr>
                <w:rFonts w:asciiTheme="minorEastAsia" w:hAnsiTheme="minorEastAsia"/>
                <w:szCs w:val="21"/>
              </w:rPr>
            </w:pPr>
            <w:r>
              <w:rPr>
                <w:rFonts w:hint="eastAsia" w:asciiTheme="minorEastAsia" w:hAnsiTheme="minorEastAsia"/>
                <w:szCs w:val="21"/>
              </w:rPr>
              <w:t>——怀化区。特色农业、现代物流（边贸物流）、健康养老（养老养生）、生态文化旅游等。</w:t>
            </w:r>
          </w:p>
        </w:tc>
        <w:tc>
          <w:tcPr>
            <w:tcW w:w="3090" w:type="dxa"/>
            <w:vAlign w:val="center"/>
          </w:tcPr>
          <w:p>
            <w:pPr>
              <w:jc w:val="center"/>
              <w:rPr>
                <w:rFonts w:asciiTheme="minorEastAsia" w:hAnsiTheme="minorEastAsia"/>
                <w:szCs w:val="21"/>
              </w:rPr>
            </w:pPr>
            <w:r>
              <w:rPr>
                <w:rFonts w:hint="eastAsia" w:asciiTheme="minorEastAsia" w:hAnsiTheme="minorEastAsia"/>
                <w:szCs w:val="21"/>
              </w:rPr>
              <w:t>湖南怀化经济开发区</w:t>
            </w:r>
          </w:p>
          <w:p>
            <w:pPr>
              <w:jc w:val="center"/>
              <w:rPr>
                <w:rFonts w:asciiTheme="minorEastAsia" w:hAnsiTheme="minorEastAsia"/>
                <w:szCs w:val="21"/>
              </w:rPr>
            </w:pPr>
            <w:r>
              <w:rPr>
                <w:rFonts w:hint="eastAsia" w:asciiTheme="minorEastAsia" w:hAnsiTheme="minorEastAsia"/>
                <w:szCs w:val="21"/>
              </w:rPr>
              <w:t>湖南怀化工业园区</w:t>
            </w:r>
          </w:p>
          <w:p>
            <w:pPr>
              <w:jc w:val="center"/>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vMerge w:val="restart"/>
            <w:vAlign w:val="center"/>
          </w:tcPr>
          <w:p>
            <w:pPr>
              <w:jc w:val="center"/>
              <w:rPr>
                <w:rFonts w:asciiTheme="minorEastAsia" w:hAnsiTheme="minorEastAsia"/>
                <w:szCs w:val="21"/>
              </w:rPr>
            </w:pPr>
            <w:r>
              <w:rPr>
                <w:rFonts w:hint="eastAsia" w:asciiTheme="minorEastAsia" w:hAnsiTheme="minorEastAsia"/>
                <w:szCs w:val="21"/>
              </w:rPr>
              <w:t>“四带”</w:t>
            </w:r>
          </w:p>
        </w:tc>
        <w:tc>
          <w:tcPr>
            <w:tcW w:w="1418" w:type="dxa"/>
            <w:vAlign w:val="center"/>
          </w:tcPr>
          <w:p>
            <w:pPr>
              <w:jc w:val="center"/>
              <w:rPr>
                <w:rFonts w:asciiTheme="minorEastAsia" w:hAnsiTheme="minorEastAsia"/>
                <w:szCs w:val="21"/>
              </w:rPr>
            </w:pPr>
            <w:r>
              <w:rPr>
                <w:rFonts w:hint="eastAsia" w:asciiTheme="minorEastAsia" w:hAnsiTheme="minorEastAsia"/>
                <w:szCs w:val="21"/>
              </w:rPr>
              <w:t>京广高铁经济带</w:t>
            </w:r>
          </w:p>
        </w:tc>
        <w:tc>
          <w:tcPr>
            <w:tcW w:w="8857" w:type="dxa"/>
            <w:vAlign w:val="center"/>
          </w:tcPr>
          <w:p>
            <w:pPr>
              <w:rPr>
                <w:rFonts w:asciiTheme="minorEastAsia" w:hAnsiTheme="minorEastAsia"/>
                <w:szCs w:val="21"/>
              </w:rPr>
            </w:pPr>
            <w:r>
              <w:rPr>
                <w:rFonts w:hint="eastAsia" w:asciiTheme="minorEastAsia" w:hAnsiTheme="minorEastAsia"/>
                <w:szCs w:val="21"/>
              </w:rPr>
              <w:t>立足南北贯通的交通网络，加强与“一带一路”、京津冀、长江经济带、珠三角互动衔接，前瞻布局一批高端制造业和现代服务业，增强资金、技术、人才吸纳能力和辐射带动能力，建设成为重要的要素集聚区、产业集群带。</w:t>
            </w:r>
          </w:p>
          <w:p>
            <w:pPr>
              <w:rPr>
                <w:rFonts w:asciiTheme="minorEastAsia" w:hAnsiTheme="minorEastAsia"/>
                <w:szCs w:val="21"/>
              </w:rPr>
            </w:pPr>
            <w:r>
              <w:rPr>
                <w:rFonts w:hint="eastAsia" w:asciiTheme="minorEastAsia" w:hAnsiTheme="minorEastAsia"/>
                <w:szCs w:val="21"/>
              </w:rPr>
              <w:t>——衡阳市。高端装备制造（新能源装备、精密模具）、有色金属（铜精深加工）、新材料（核材料、金属新材料、化工新材料）、现代物流（工业物流）。</w:t>
            </w:r>
          </w:p>
        </w:tc>
        <w:tc>
          <w:tcPr>
            <w:tcW w:w="3090" w:type="dxa"/>
            <w:vAlign w:val="center"/>
          </w:tcPr>
          <w:p>
            <w:pPr>
              <w:jc w:val="center"/>
              <w:rPr>
                <w:rFonts w:asciiTheme="minorEastAsia" w:hAnsiTheme="minorEastAsia"/>
                <w:szCs w:val="21"/>
              </w:rPr>
            </w:pPr>
            <w:r>
              <w:rPr>
                <w:rFonts w:hint="eastAsia" w:asciiTheme="minorEastAsia" w:hAnsiTheme="minorEastAsia"/>
                <w:szCs w:val="21"/>
              </w:rPr>
              <w:t>湖南衡阳高新技术产业开发区</w:t>
            </w:r>
          </w:p>
          <w:p>
            <w:pPr>
              <w:jc w:val="center"/>
              <w:rPr>
                <w:rFonts w:asciiTheme="minorEastAsia" w:hAnsiTheme="minorEastAsia"/>
                <w:szCs w:val="21"/>
              </w:rPr>
            </w:pPr>
            <w:r>
              <w:rPr>
                <w:rFonts w:hint="eastAsia" w:asciiTheme="minorEastAsia" w:hAnsiTheme="minorEastAsia"/>
                <w:szCs w:val="21"/>
              </w:rPr>
              <w:t>湖南衡阳松木经济开发区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vMerge w:val="continue"/>
            <w:vAlign w:val="center"/>
          </w:tcPr>
          <w:p>
            <w:pPr>
              <w:jc w:val="center"/>
              <w:rPr>
                <w:rFonts w:asciiTheme="minorEastAsia" w:hAnsiTheme="minorEastAsia"/>
                <w:szCs w:val="21"/>
              </w:rPr>
            </w:pPr>
          </w:p>
        </w:tc>
        <w:tc>
          <w:tcPr>
            <w:tcW w:w="1418" w:type="dxa"/>
            <w:vAlign w:val="center"/>
          </w:tcPr>
          <w:p>
            <w:pPr>
              <w:jc w:val="center"/>
              <w:rPr>
                <w:rFonts w:asciiTheme="minorEastAsia" w:hAnsiTheme="minorEastAsia"/>
                <w:szCs w:val="21"/>
              </w:rPr>
            </w:pPr>
            <w:r>
              <w:rPr>
                <w:rFonts w:hint="eastAsia" w:asciiTheme="minorEastAsia" w:hAnsiTheme="minorEastAsia"/>
                <w:szCs w:val="21"/>
              </w:rPr>
              <w:t>环洞庭湖经济带</w:t>
            </w:r>
          </w:p>
        </w:tc>
        <w:tc>
          <w:tcPr>
            <w:tcW w:w="8857" w:type="dxa"/>
            <w:vAlign w:val="center"/>
          </w:tcPr>
          <w:p>
            <w:pPr>
              <w:rPr>
                <w:rFonts w:asciiTheme="minorEastAsia" w:hAnsiTheme="minorEastAsia"/>
                <w:szCs w:val="21"/>
              </w:rPr>
            </w:pPr>
            <w:r>
              <w:rPr>
                <w:rFonts w:hint="eastAsia" w:asciiTheme="minorEastAsia" w:hAnsiTheme="minorEastAsia"/>
                <w:szCs w:val="21"/>
              </w:rPr>
              <w:t>以交通、水利等重大基础设施互联互通为切入点，积极对接长江经济带发展战略，建设一批特色产业集群，打造长江中游先进制造业和现代服务业基地。</w:t>
            </w:r>
          </w:p>
          <w:p>
            <w:pPr>
              <w:rPr>
                <w:rFonts w:asciiTheme="minorEastAsia" w:hAnsiTheme="minorEastAsia"/>
                <w:szCs w:val="21"/>
              </w:rPr>
            </w:pPr>
            <w:r>
              <w:rPr>
                <w:rFonts w:hint="eastAsia" w:asciiTheme="minorEastAsia" w:hAnsiTheme="minorEastAsia"/>
                <w:szCs w:val="21"/>
              </w:rPr>
              <w:t>——常德市。食品、高端装备制造（现代农业）</w:t>
            </w:r>
          </w:p>
        </w:tc>
        <w:tc>
          <w:tcPr>
            <w:tcW w:w="3090" w:type="dxa"/>
            <w:vAlign w:val="center"/>
          </w:tcPr>
          <w:p>
            <w:pPr>
              <w:jc w:val="center"/>
              <w:rPr>
                <w:rFonts w:asciiTheme="minorEastAsia" w:hAnsiTheme="minorEastAsia"/>
                <w:szCs w:val="21"/>
              </w:rPr>
            </w:pPr>
            <w:r>
              <w:rPr>
                <w:rFonts w:hint="eastAsia" w:asciiTheme="minorEastAsia" w:hAnsiTheme="minorEastAsia"/>
                <w:szCs w:val="21"/>
              </w:rPr>
              <w:t>常德经济技术开发区</w:t>
            </w:r>
          </w:p>
          <w:p>
            <w:pPr>
              <w:jc w:val="center"/>
              <w:rPr>
                <w:rFonts w:asciiTheme="minorEastAsia" w:hAnsiTheme="minorEastAsia"/>
                <w:szCs w:val="21"/>
              </w:rPr>
            </w:pPr>
            <w:r>
              <w:rPr>
                <w:rFonts w:hint="eastAsia" w:asciiTheme="minorEastAsia" w:hAnsiTheme="minorEastAsia"/>
                <w:szCs w:val="21"/>
              </w:rPr>
              <w:t>益阳高新技术产业开发区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1" w:type="dxa"/>
            <w:vMerge w:val="continue"/>
            <w:vAlign w:val="center"/>
          </w:tcPr>
          <w:p>
            <w:pPr>
              <w:jc w:val="center"/>
              <w:rPr>
                <w:rFonts w:asciiTheme="minorEastAsia" w:hAnsiTheme="minorEastAsia"/>
                <w:szCs w:val="21"/>
              </w:rPr>
            </w:pPr>
          </w:p>
        </w:tc>
        <w:tc>
          <w:tcPr>
            <w:tcW w:w="1418" w:type="dxa"/>
            <w:vAlign w:val="center"/>
          </w:tcPr>
          <w:p>
            <w:pPr>
              <w:jc w:val="center"/>
              <w:rPr>
                <w:rFonts w:asciiTheme="minorEastAsia" w:hAnsiTheme="minorEastAsia"/>
                <w:szCs w:val="21"/>
              </w:rPr>
            </w:pPr>
            <w:r>
              <w:rPr>
                <w:rFonts w:hint="eastAsia" w:asciiTheme="minorEastAsia" w:hAnsiTheme="minorEastAsia"/>
                <w:szCs w:val="21"/>
              </w:rPr>
              <w:t>沪昆高铁经济带</w:t>
            </w:r>
          </w:p>
        </w:tc>
        <w:tc>
          <w:tcPr>
            <w:tcW w:w="8857" w:type="dxa"/>
            <w:vAlign w:val="center"/>
          </w:tcPr>
          <w:p>
            <w:pPr>
              <w:rPr>
                <w:rFonts w:asciiTheme="minorEastAsia" w:hAnsiTheme="minorEastAsia"/>
                <w:szCs w:val="21"/>
              </w:rPr>
            </w:pPr>
            <w:r>
              <w:rPr>
                <w:rFonts w:hint="eastAsia" w:asciiTheme="minorEastAsia" w:hAnsiTheme="minorEastAsia"/>
                <w:szCs w:val="21"/>
              </w:rPr>
              <w:t>加强与长三角、东盟地区产业间联系，发挥“一带一路”的区位优势，进一步扩大开放，增强产业发展活力，建设特色产业聚集带。</w:t>
            </w:r>
          </w:p>
          <w:p>
            <w:pPr>
              <w:rPr>
                <w:rFonts w:asciiTheme="minorEastAsia" w:hAnsiTheme="minorEastAsia"/>
                <w:szCs w:val="21"/>
              </w:rPr>
            </w:pPr>
            <w:r>
              <w:rPr>
                <w:rFonts w:hint="eastAsia" w:asciiTheme="minorEastAsia" w:hAnsiTheme="minorEastAsia"/>
                <w:szCs w:val="21"/>
              </w:rPr>
              <w:t>——娄底。新材料（精品钢材、特种陶瓷）、高端装备制造（农机装备）、建材、食品、医药。</w:t>
            </w:r>
          </w:p>
          <w:p>
            <w:pPr>
              <w:rPr>
                <w:rFonts w:asciiTheme="minorEastAsia" w:hAnsiTheme="minorEastAsia"/>
                <w:szCs w:val="21"/>
              </w:rPr>
            </w:pPr>
            <w:r>
              <w:rPr>
                <w:rFonts w:hint="eastAsia" w:asciiTheme="minorEastAsia" w:hAnsiTheme="minorEastAsia"/>
                <w:szCs w:val="21"/>
              </w:rPr>
              <w:t>——永州。高端装备制造（条码技术装备）、特色农产品、新一代信息技术（智能技术语信息产品）、新材料（稀土材料）。</w:t>
            </w:r>
          </w:p>
        </w:tc>
        <w:tc>
          <w:tcPr>
            <w:tcW w:w="3090" w:type="dxa"/>
            <w:vAlign w:val="center"/>
          </w:tcPr>
          <w:p>
            <w:pPr>
              <w:jc w:val="center"/>
              <w:rPr>
                <w:rFonts w:asciiTheme="minorEastAsia" w:hAnsiTheme="minorEastAsia"/>
                <w:szCs w:val="21"/>
              </w:rPr>
            </w:pPr>
            <w:r>
              <w:rPr>
                <w:rFonts w:hint="eastAsia" w:asciiTheme="minorEastAsia" w:hAnsiTheme="minorEastAsia"/>
                <w:szCs w:val="21"/>
              </w:rPr>
              <w:t>娄底经济开发区</w:t>
            </w:r>
          </w:p>
          <w:p>
            <w:pPr>
              <w:jc w:val="center"/>
              <w:rPr>
                <w:rFonts w:asciiTheme="minorEastAsia" w:hAnsiTheme="minorEastAsia"/>
                <w:szCs w:val="21"/>
              </w:rPr>
            </w:pPr>
            <w:r>
              <w:rPr>
                <w:rFonts w:hint="eastAsia" w:asciiTheme="minorEastAsia" w:hAnsiTheme="minorEastAsia"/>
                <w:szCs w:val="21"/>
              </w:rPr>
              <w:t>劭阳经济开发区</w:t>
            </w:r>
          </w:p>
          <w:p>
            <w:pPr>
              <w:jc w:val="center"/>
              <w:rPr>
                <w:rFonts w:asciiTheme="minorEastAsia" w:hAnsiTheme="minorEastAsia"/>
                <w:szCs w:val="21"/>
              </w:rPr>
            </w:pPr>
            <w:r>
              <w:rPr>
                <w:rFonts w:hint="eastAsia" w:asciiTheme="minorEastAsia" w:hAnsiTheme="minorEastAsia"/>
                <w:szCs w:val="21"/>
              </w:rPr>
              <w:t>永州经济开发区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9" w:hRule="atLeast"/>
          <w:jc w:val="center"/>
        </w:trPr>
        <w:tc>
          <w:tcPr>
            <w:tcW w:w="1271" w:type="dxa"/>
            <w:vMerge w:val="continue"/>
            <w:vAlign w:val="center"/>
          </w:tcPr>
          <w:p>
            <w:pPr>
              <w:jc w:val="center"/>
              <w:rPr>
                <w:rFonts w:asciiTheme="minorEastAsia" w:hAnsiTheme="minorEastAsia"/>
                <w:szCs w:val="21"/>
              </w:rPr>
            </w:pPr>
          </w:p>
        </w:tc>
        <w:tc>
          <w:tcPr>
            <w:tcW w:w="1418" w:type="dxa"/>
            <w:vAlign w:val="center"/>
          </w:tcPr>
          <w:p>
            <w:pPr>
              <w:jc w:val="center"/>
              <w:rPr>
                <w:rFonts w:asciiTheme="minorEastAsia" w:hAnsiTheme="minorEastAsia"/>
                <w:szCs w:val="21"/>
              </w:rPr>
            </w:pPr>
            <w:r>
              <w:rPr>
                <w:rFonts w:hint="eastAsia" w:asciiTheme="minorEastAsia" w:hAnsiTheme="minorEastAsia"/>
                <w:szCs w:val="21"/>
              </w:rPr>
              <w:t>张吉怀精品生态文化旅游经济带</w:t>
            </w:r>
          </w:p>
        </w:tc>
        <w:tc>
          <w:tcPr>
            <w:tcW w:w="8857" w:type="dxa"/>
            <w:vAlign w:val="center"/>
          </w:tcPr>
          <w:p>
            <w:pPr>
              <w:rPr>
                <w:rFonts w:asciiTheme="minorEastAsia" w:hAnsiTheme="minorEastAsia"/>
                <w:szCs w:val="21"/>
              </w:rPr>
            </w:pPr>
            <w:r>
              <w:rPr>
                <w:rFonts w:hint="eastAsia" w:asciiTheme="minorEastAsia" w:hAnsiTheme="minorEastAsia"/>
                <w:szCs w:val="21"/>
              </w:rPr>
              <w:t>立足良好的生态资源优势，发展特色产业，缩小发展差距，建成国际知名旅游目的地。</w:t>
            </w:r>
          </w:p>
          <w:p>
            <w:pPr>
              <w:rPr>
                <w:rFonts w:asciiTheme="minorEastAsia" w:hAnsiTheme="minorEastAsia"/>
                <w:szCs w:val="21"/>
              </w:rPr>
            </w:pPr>
            <w:r>
              <w:rPr>
                <w:rFonts w:hint="eastAsia" w:asciiTheme="minorEastAsia" w:hAnsiTheme="minorEastAsia"/>
                <w:szCs w:val="21"/>
              </w:rPr>
              <w:t>——张家界。旅游及旅游产品加工、健康养老、会议发展业。</w:t>
            </w:r>
          </w:p>
          <w:p>
            <w:pPr>
              <w:rPr>
                <w:rFonts w:asciiTheme="minorEastAsia" w:hAnsiTheme="minorEastAsia"/>
                <w:szCs w:val="21"/>
              </w:rPr>
            </w:pPr>
            <w:r>
              <w:rPr>
                <w:rFonts w:hint="eastAsia" w:asciiTheme="minorEastAsia" w:hAnsiTheme="minorEastAsia"/>
                <w:szCs w:val="21"/>
              </w:rPr>
              <w:t>——湘西自治州。旅游、食品、新材料（金属新材料）。</w:t>
            </w:r>
          </w:p>
        </w:tc>
        <w:tc>
          <w:tcPr>
            <w:tcW w:w="3090" w:type="dxa"/>
            <w:vAlign w:val="center"/>
          </w:tcPr>
          <w:p>
            <w:pPr>
              <w:jc w:val="center"/>
              <w:rPr>
                <w:rFonts w:asciiTheme="minorEastAsia" w:hAnsiTheme="minorEastAsia"/>
                <w:szCs w:val="21"/>
              </w:rPr>
            </w:pPr>
            <w:r>
              <w:rPr>
                <w:rFonts w:hint="eastAsia" w:asciiTheme="minorEastAsia" w:hAnsiTheme="minorEastAsia"/>
                <w:szCs w:val="21"/>
              </w:rPr>
              <w:t>湖南张家界经济开发区</w:t>
            </w:r>
          </w:p>
          <w:p>
            <w:pPr>
              <w:jc w:val="center"/>
              <w:rPr>
                <w:rFonts w:asciiTheme="minorEastAsia" w:hAnsiTheme="minorEastAsia"/>
                <w:szCs w:val="21"/>
              </w:rPr>
            </w:pPr>
            <w:r>
              <w:rPr>
                <w:rFonts w:hint="eastAsia" w:asciiTheme="minorEastAsia" w:hAnsiTheme="minorEastAsia"/>
                <w:szCs w:val="21"/>
              </w:rPr>
              <w:t>湖南湘西经济开发区</w:t>
            </w:r>
          </w:p>
        </w:tc>
      </w:tr>
    </w:tbl>
    <w:p>
      <w:pPr>
        <w:spacing w:line="360" w:lineRule="auto"/>
        <w:ind w:firstLine="560" w:firstLineChars="200"/>
        <w:jc w:val="left"/>
        <w:rPr>
          <w:rFonts w:asciiTheme="minorEastAsia" w:hAnsiTheme="minorEastAsia"/>
          <w:sz w:val="28"/>
          <w:szCs w:val="28"/>
        </w:rPr>
      </w:pPr>
    </w:p>
    <w:p>
      <w:pPr>
        <w:spacing w:line="360" w:lineRule="auto"/>
        <w:ind w:firstLine="560" w:firstLineChars="200"/>
        <w:jc w:val="left"/>
        <w:rPr>
          <w:rFonts w:asciiTheme="minorEastAsia" w:hAnsiTheme="minorEastAsia"/>
          <w:sz w:val="28"/>
          <w:szCs w:val="28"/>
        </w:rPr>
        <w:sectPr>
          <w:pgSz w:w="16838" w:h="11906" w:orient="landscape"/>
          <w:pgMar w:top="1440" w:right="1800" w:bottom="1440" w:left="1800" w:header="851" w:footer="992" w:gutter="0"/>
          <w:cols w:space="425" w:num="1"/>
          <w:docGrid w:type="lines" w:linePitch="312" w:charSpace="0"/>
        </w:sectPr>
      </w:pPr>
    </w:p>
    <w:p>
      <w:pPr>
        <w:pStyle w:val="4"/>
        <w:rPr>
          <w:rFonts w:ascii="仿宋_GB2312" w:eastAsia="仿宋_GB2312" w:cs="Times New Roman" w:hAnsiTheme="minorEastAsia"/>
          <w:bCs w:val="0"/>
        </w:rPr>
      </w:pPr>
      <w:bookmarkStart w:id="13" w:name="_Toc7299987"/>
      <w:r>
        <w:rPr>
          <w:rFonts w:hint="eastAsia" w:ascii="仿宋_GB2312" w:eastAsia="仿宋_GB2312" w:cs="Times New Roman" w:hAnsiTheme="minorEastAsia"/>
          <w:bCs w:val="0"/>
        </w:rPr>
        <w:t>1</w:t>
      </w:r>
      <w:r>
        <w:rPr>
          <w:rFonts w:ascii="仿宋_GB2312" w:eastAsia="仿宋_GB2312" w:cs="Times New Roman" w:hAnsiTheme="minorEastAsia"/>
          <w:bCs w:val="0"/>
        </w:rPr>
        <w:t>.2.3</w:t>
      </w:r>
      <w:r>
        <w:rPr>
          <w:rFonts w:hint="eastAsia" w:ascii="仿宋_GB2312" w:eastAsia="仿宋_GB2312" w:cs="Times New Roman" w:hAnsiTheme="minorEastAsia"/>
          <w:bCs w:val="0"/>
        </w:rPr>
        <w:t>支柱产业</w:t>
      </w:r>
      <w:bookmarkEnd w:id="13"/>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据湖南省统计局发布，目前非金属矿物制品业、化学原料和化学制品制造业、烟草制品业、有色金属冶炼和压延加工业、农副食品加工业、计算机通信和其他电子设备制造业、专用设备制造业等7个行业的增加值占全省规模工业增加值的比重已超过5%，为全省工业的支柱行业。</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2018年，在</w:t>
      </w:r>
      <w:r>
        <w:rPr>
          <w:rFonts w:hint="eastAsia" w:ascii="仿宋_GB2312" w:eastAsia="仿宋_GB2312" w:hAnsiTheme="minorEastAsia"/>
          <w:sz w:val="32"/>
          <w:szCs w:val="32"/>
        </w:rPr>
        <w:t>湖南</w:t>
      </w:r>
      <w:r>
        <w:rPr>
          <w:rFonts w:ascii="仿宋_GB2312" w:eastAsia="仿宋_GB2312" w:hAnsiTheme="minorEastAsia"/>
          <w:sz w:val="32"/>
          <w:szCs w:val="32"/>
        </w:rPr>
        <w:t>全省规模工业中，装备制造业</w:t>
      </w:r>
      <w:r>
        <w:rPr>
          <w:rFonts w:hint="eastAsia" w:ascii="仿宋_GB2312" w:eastAsia="仿宋_GB2312" w:hAnsiTheme="minorEastAsia"/>
          <w:sz w:val="32"/>
          <w:szCs w:val="32"/>
        </w:rPr>
        <w:t>增势强劲，</w:t>
      </w:r>
      <w:r>
        <w:rPr>
          <w:rFonts w:ascii="仿宋_GB2312" w:eastAsia="仿宋_GB2312" w:hAnsiTheme="minorEastAsia"/>
          <w:sz w:val="32"/>
          <w:szCs w:val="32"/>
        </w:rPr>
        <w:t>约拉动全省规模工业增长3.4个百分点，贡献率达45.5%。其中</w:t>
      </w:r>
      <w:r>
        <w:rPr>
          <w:rFonts w:hint="eastAsia" w:ascii="仿宋_GB2312" w:eastAsia="仿宋_GB2312" w:hAnsiTheme="minorEastAsia"/>
          <w:sz w:val="32"/>
          <w:szCs w:val="32"/>
        </w:rPr>
        <w:t>，</w:t>
      </w:r>
      <w:r>
        <w:rPr>
          <w:rFonts w:ascii="仿宋_GB2312" w:eastAsia="仿宋_GB2312" w:hAnsiTheme="minorEastAsia"/>
          <w:sz w:val="32"/>
          <w:szCs w:val="32"/>
        </w:rPr>
        <w:t>电子设备</w:t>
      </w:r>
      <w:r>
        <w:rPr>
          <w:rFonts w:hint="eastAsia" w:ascii="仿宋_GB2312" w:eastAsia="仿宋_GB2312" w:hAnsiTheme="minorEastAsia"/>
          <w:sz w:val="32"/>
          <w:szCs w:val="32"/>
        </w:rPr>
        <w:t>、</w:t>
      </w:r>
      <w:r>
        <w:rPr>
          <w:rFonts w:ascii="仿宋_GB2312" w:eastAsia="仿宋_GB2312" w:hAnsiTheme="minorEastAsia"/>
          <w:sz w:val="32"/>
          <w:szCs w:val="32"/>
        </w:rPr>
        <w:t>汽车</w:t>
      </w:r>
      <w:r>
        <w:rPr>
          <w:rFonts w:hint="eastAsia" w:ascii="仿宋_GB2312" w:eastAsia="仿宋_GB2312" w:hAnsiTheme="minorEastAsia"/>
          <w:sz w:val="32"/>
          <w:szCs w:val="32"/>
        </w:rPr>
        <w:t>、</w:t>
      </w:r>
      <w:r>
        <w:rPr>
          <w:rFonts w:ascii="仿宋_GB2312" w:eastAsia="仿宋_GB2312" w:hAnsiTheme="minorEastAsia"/>
          <w:sz w:val="32"/>
          <w:szCs w:val="32"/>
        </w:rPr>
        <w:t>金属制品、通用设备、专用设备</w:t>
      </w:r>
      <w:r>
        <w:rPr>
          <w:rFonts w:hint="eastAsia" w:ascii="仿宋_GB2312" w:eastAsia="仿宋_GB2312" w:hAnsiTheme="minorEastAsia"/>
          <w:sz w:val="32"/>
          <w:szCs w:val="32"/>
        </w:rPr>
        <w:t>以及</w:t>
      </w:r>
      <w:r>
        <w:rPr>
          <w:rFonts w:ascii="仿宋_GB2312" w:eastAsia="仿宋_GB2312" w:hAnsiTheme="minorEastAsia"/>
          <w:sz w:val="32"/>
          <w:szCs w:val="32"/>
        </w:rPr>
        <w:t>铁路、船舶、航空航天和其他运输设备制造业</w:t>
      </w:r>
      <w:r>
        <w:rPr>
          <w:rFonts w:hint="eastAsia" w:ascii="仿宋_GB2312" w:eastAsia="仿宋_GB2312" w:hAnsiTheme="minorEastAsia"/>
          <w:sz w:val="32"/>
          <w:szCs w:val="32"/>
        </w:rPr>
        <w:t>增速超过10%</w:t>
      </w:r>
      <w:r>
        <w:rPr>
          <w:rFonts w:ascii="仿宋_GB2312" w:eastAsia="仿宋_GB2312" w:hAnsiTheme="minorEastAsia"/>
          <w:sz w:val="32"/>
          <w:szCs w:val="32"/>
        </w:rPr>
        <w:t>。特别是</w:t>
      </w:r>
      <w:r>
        <w:rPr>
          <w:rFonts w:hint="eastAsia" w:ascii="仿宋_GB2312" w:eastAsia="仿宋_GB2312" w:hAnsiTheme="minorEastAsia"/>
          <w:sz w:val="32"/>
          <w:szCs w:val="32"/>
        </w:rPr>
        <w:t>计算机通信和其他电子设备制造业因蓝思科技等一批龙头企业崛起，成为了全省工业支柱行业。</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有色金属矿采选业、非金属矿采选业、印刷和记录媒介复制业、铁路船舶航空航天和其他运输设备制造业等4个行业的增加值占全省规模工业的比重不到5%，但其主营业务收入占全国同行业比重在5%以上，为全省工业的规模比较优势行业。医药制造业、汽车制造业占全省规模工业的比重、占全国同行业的比重均不及5%，但近几年发展持续较快，为全省工业的新兴行业。</w:t>
      </w:r>
    </w:p>
    <w:p>
      <w:pPr>
        <w:pStyle w:val="3"/>
        <w:rPr>
          <w:rFonts w:ascii="楷体" w:hAnsi="楷体" w:eastAsia="楷体"/>
        </w:rPr>
      </w:pPr>
      <w:bookmarkStart w:id="14" w:name="_Toc7300059"/>
      <w:bookmarkStart w:id="15" w:name="_Toc7299988"/>
      <w:r>
        <w:rPr>
          <w:rFonts w:hint="eastAsia" w:ascii="楷体" w:hAnsi="楷体" w:eastAsia="楷体"/>
        </w:rPr>
        <w:t>1.3主要产业园区及产业集群</w:t>
      </w:r>
      <w:bookmarkEnd w:id="12"/>
      <w:bookmarkEnd w:id="14"/>
      <w:bookmarkEnd w:id="15"/>
    </w:p>
    <w:p>
      <w:pPr>
        <w:pStyle w:val="4"/>
        <w:rPr>
          <w:rFonts w:ascii="仿宋_GB2312" w:eastAsia="仿宋_GB2312" w:cs="Times New Roman" w:hAnsiTheme="minorEastAsia"/>
          <w:bCs w:val="0"/>
        </w:rPr>
      </w:pPr>
      <w:bookmarkStart w:id="16" w:name="_Toc7299989"/>
      <w:r>
        <w:rPr>
          <w:rFonts w:hint="eastAsia" w:ascii="仿宋_GB2312" w:eastAsia="仿宋_GB2312" w:cs="Times New Roman" w:hAnsiTheme="minorEastAsia"/>
          <w:bCs w:val="0"/>
        </w:rPr>
        <w:t>1</w:t>
      </w:r>
      <w:r>
        <w:rPr>
          <w:rFonts w:ascii="仿宋_GB2312" w:eastAsia="仿宋_GB2312" w:cs="Times New Roman" w:hAnsiTheme="minorEastAsia"/>
          <w:bCs w:val="0"/>
        </w:rPr>
        <w:t>.3.1</w:t>
      </w:r>
      <w:r>
        <w:rPr>
          <w:rFonts w:hint="eastAsia" w:ascii="仿宋_GB2312" w:eastAsia="仿宋_GB2312" w:cs="Times New Roman" w:hAnsiTheme="minorEastAsia"/>
          <w:bCs w:val="0"/>
        </w:rPr>
        <w:t>国家级产业园区</w:t>
      </w:r>
      <w:bookmarkEnd w:id="16"/>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目前，</w:t>
      </w:r>
      <w:r>
        <w:rPr>
          <w:rFonts w:ascii="仿宋_GB2312" w:eastAsia="仿宋_GB2312" w:hAnsiTheme="minorEastAsia"/>
          <w:sz w:val="32"/>
          <w:szCs w:val="32"/>
        </w:rPr>
        <w:t>湖南省国家级园区共13个，分别为</w:t>
      </w:r>
      <w:r>
        <w:rPr>
          <w:rFonts w:hint="eastAsia" w:ascii="仿宋_GB2312" w:eastAsia="仿宋_GB2312" w:hAnsiTheme="minorEastAsia"/>
          <w:sz w:val="32"/>
          <w:szCs w:val="32"/>
        </w:rPr>
        <w:t>：</w:t>
      </w:r>
      <w:r>
        <w:rPr>
          <w:rFonts w:ascii="仿宋_GB2312" w:eastAsia="仿宋_GB2312" w:hAnsiTheme="minorEastAsia"/>
          <w:sz w:val="32"/>
          <w:szCs w:val="32"/>
        </w:rPr>
        <w:t>长沙高新技术产业开发区、长沙经济技术开发区、</w:t>
      </w:r>
      <w:r>
        <w:fldChar w:fldCharType="begin"/>
      </w:r>
      <w:r>
        <w:instrText xml:space="preserve"> HYPERLINK "https://baike.so.com/doc/6799794-7016611.html" \t "_blank" </w:instrText>
      </w:r>
      <w:r>
        <w:fldChar w:fldCharType="separate"/>
      </w:r>
      <w:r>
        <w:rPr>
          <w:rFonts w:ascii="仿宋_GB2312" w:eastAsia="仿宋_GB2312" w:hAnsiTheme="minorEastAsia"/>
          <w:sz w:val="32"/>
          <w:szCs w:val="32"/>
        </w:rPr>
        <w:t>宁乡经济技术开发区</w:t>
      </w:r>
      <w:r>
        <w:rPr>
          <w:rFonts w:ascii="仿宋_GB2312" w:eastAsia="仿宋_GB2312" w:hAnsiTheme="minorEastAsia"/>
          <w:sz w:val="32"/>
          <w:szCs w:val="32"/>
        </w:rPr>
        <w:fldChar w:fldCharType="end"/>
      </w:r>
      <w:r>
        <w:rPr>
          <w:rFonts w:hint="eastAsia" w:ascii="仿宋_GB2312" w:eastAsia="仿宋_GB2312" w:hAnsiTheme="minorEastAsia"/>
          <w:sz w:val="32"/>
          <w:szCs w:val="32"/>
        </w:rPr>
        <w:t>、</w:t>
      </w:r>
      <w:r>
        <w:rPr>
          <w:rFonts w:ascii="仿宋_GB2312" w:eastAsia="仿宋_GB2312" w:hAnsiTheme="minorEastAsia"/>
          <w:sz w:val="32"/>
          <w:szCs w:val="32"/>
        </w:rPr>
        <w:t>望城经济技术开发区、</w:t>
      </w:r>
      <w:r>
        <w:fldChar w:fldCharType="begin"/>
      </w:r>
      <w:r>
        <w:instrText xml:space="preserve"> HYPERLINK "https://baike.so.com/doc/6936391-7158747.html" \t "_blank" </w:instrText>
      </w:r>
      <w:r>
        <w:fldChar w:fldCharType="separate"/>
      </w:r>
      <w:r>
        <w:rPr>
          <w:rFonts w:ascii="仿宋_GB2312" w:eastAsia="仿宋_GB2312" w:hAnsiTheme="minorEastAsia"/>
          <w:sz w:val="32"/>
          <w:szCs w:val="32"/>
        </w:rPr>
        <w:t>浏阳经济技术开发区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"https://baike.so.com/doc/5614585-5827195.html" \t "_blank" </w:instrText>
      </w:r>
      <w:r>
        <w:fldChar w:fldCharType="separate"/>
      </w:r>
      <w:r>
        <w:rPr>
          <w:rFonts w:ascii="仿宋_GB2312" w:eastAsia="仿宋_GB2312" w:hAnsiTheme="minorEastAsia"/>
          <w:sz w:val="32"/>
          <w:szCs w:val="32"/>
        </w:rPr>
        <w:t>长沙国家生物产业基地</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"https://baike.so.com/doc/6333488-6547100.html" \t "_blank" </w:instrText>
      </w:r>
      <w:r>
        <w:fldChar w:fldCharType="separate"/>
      </w:r>
      <w:r>
        <w:rPr>
          <w:rFonts w:ascii="仿宋_GB2312" w:eastAsia="仿宋_GB2312" w:hAnsiTheme="minorEastAsia"/>
          <w:sz w:val="32"/>
          <w:szCs w:val="32"/>
        </w:rPr>
        <w:t>娄底市经济开发区</w:t>
      </w:r>
      <w:r>
        <w:rPr>
          <w:rFonts w:ascii="仿宋_GB2312" w:eastAsia="仿宋_GB2312" w:hAnsiTheme="minorEastAsia"/>
          <w:sz w:val="32"/>
          <w:szCs w:val="32"/>
        </w:rPr>
        <w:fldChar w:fldCharType="end"/>
      </w:r>
      <w:r>
        <w:rPr>
          <w:rFonts w:ascii="仿宋_GB2312" w:eastAsia="仿宋_GB2312" w:hAnsiTheme="minorEastAsia"/>
          <w:sz w:val="32"/>
          <w:szCs w:val="32"/>
        </w:rPr>
        <w:t>、衡阳</w:t>
      </w:r>
      <w:r>
        <w:fldChar w:fldCharType="begin"/>
      </w:r>
      <w:r>
        <w:instrText xml:space="preserve"> HYPERLINK "https://baike.so.com/doc/6190236-6403488.html" \t "_blank" </w:instrText>
      </w:r>
      <w:r>
        <w:fldChar w:fldCharType="separate"/>
      </w:r>
      <w:r>
        <w:rPr>
          <w:rFonts w:ascii="仿宋_GB2312" w:eastAsia="仿宋_GB2312" w:hAnsiTheme="minorEastAsia"/>
          <w:sz w:val="32"/>
          <w:szCs w:val="32"/>
        </w:rPr>
        <w:t>高新技术产业开发区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"https://baike.so.com/doc/1224386-1295099.html" \t "_blank" </w:instrText>
      </w:r>
      <w:r>
        <w:fldChar w:fldCharType="separate"/>
      </w:r>
      <w:r>
        <w:rPr>
          <w:rFonts w:ascii="仿宋_GB2312" w:eastAsia="仿宋_GB2312" w:hAnsiTheme="minorEastAsia"/>
          <w:sz w:val="32"/>
          <w:szCs w:val="32"/>
        </w:rPr>
        <w:t>岳阳经济技术开发区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"https://baike.so.com/doc/7115999-7339105.html" \t "_blank" </w:instrText>
      </w:r>
      <w:r>
        <w:fldChar w:fldCharType="separate"/>
      </w:r>
      <w:r>
        <w:rPr>
          <w:rFonts w:ascii="仿宋_GB2312" w:eastAsia="仿宋_GB2312" w:hAnsiTheme="minorEastAsia"/>
          <w:sz w:val="32"/>
          <w:szCs w:val="32"/>
        </w:rPr>
        <w:t>湘潭国家高新技术产业开发区</w:t>
      </w:r>
      <w:r>
        <w:rPr>
          <w:rFonts w:ascii="仿宋_GB2312" w:eastAsia="仿宋_GB2312" w:hAnsiTheme="minorEastAsia"/>
          <w:sz w:val="32"/>
          <w:szCs w:val="32"/>
        </w:rPr>
        <w:fldChar w:fldCharType="end"/>
      </w:r>
      <w:r>
        <w:rPr>
          <w:rFonts w:ascii="仿宋_GB2312" w:eastAsia="仿宋_GB2312" w:hAnsiTheme="minorEastAsia"/>
          <w:sz w:val="32"/>
          <w:szCs w:val="32"/>
        </w:rPr>
        <w:t>、株洲高新技术产业开发区、</w:t>
      </w:r>
      <w:r>
        <w:fldChar w:fldCharType="begin"/>
      </w:r>
      <w:r>
        <w:instrText xml:space="preserve"> HYPERLINK "https://baike.so.com/doc/7243490-7472700.html" \t "_blank" </w:instrText>
      </w:r>
      <w:r>
        <w:fldChar w:fldCharType="separate"/>
      </w:r>
      <w:r>
        <w:rPr>
          <w:rFonts w:ascii="仿宋_GB2312" w:eastAsia="仿宋_GB2312" w:hAnsiTheme="minorEastAsia"/>
          <w:sz w:val="32"/>
          <w:szCs w:val="32"/>
        </w:rPr>
        <w:t>国家级湘潭经济技术开发区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"https://baike.so.com/doc/3874451-4067298.html" \t "_blank" </w:instrText>
      </w:r>
      <w:r>
        <w:fldChar w:fldCharType="separate"/>
      </w:r>
      <w:r>
        <w:rPr>
          <w:rFonts w:ascii="仿宋_GB2312" w:eastAsia="仿宋_GB2312" w:hAnsiTheme="minorEastAsia"/>
          <w:sz w:val="32"/>
          <w:szCs w:val="32"/>
        </w:rPr>
        <w:t>湘潭九华</w:t>
      </w:r>
      <w:r>
        <w:rPr>
          <w:rFonts w:ascii="仿宋_GB2312" w:eastAsia="仿宋_GB2312" w:hAnsiTheme="minorEastAsia"/>
          <w:sz w:val="32"/>
          <w:szCs w:val="32"/>
        </w:rPr>
        <w:fldChar w:fldCharType="end"/>
      </w:r>
      <w:r>
        <w:rPr>
          <w:rFonts w:ascii="仿宋_GB2312" w:eastAsia="仿宋_GB2312" w:hAnsiTheme="minorEastAsia"/>
          <w:sz w:val="32"/>
          <w:szCs w:val="32"/>
        </w:rPr>
        <w:t>示范区)、</w:t>
      </w:r>
      <w:r>
        <w:fldChar w:fldCharType="begin"/>
      </w:r>
      <w:r>
        <w:instrText xml:space="preserve"> HYPERLINK "https://baike.so.com/doc/6034729-6247734.html" \t "_blank" </w:instrText>
      </w:r>
      <w:r>
        <w:fldChar w:fldCharType="separate"/>
      </w:r>
      <w:r>
        <w:rPr>
          <w:rFonts w:ascii="仿宋_GB2312" w:eastAsia="仿宋_GB2312" w:hAnsiTheme="minorEastAsia"/>
          <w:sz w:val="32"/>
          <w:szCs w:val="32"/>
        </w:rPr>
        <w:t>益阳高新技术产业开发区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fldChar w:fldCharType="begin"/>
      </w:r>
      <w:r>
        <w:instrText xml:space="preserve"> HYPERLINK "https://baike.so.com/doc/7830635-8104731.html" \t "_blank" </w:instrText>
      </w:r>
      <w:r>
        <w:fldChar w:fldCharType="separate"/>
      </w:r>
      <w:r>
        <w:rPr>
          <w:rFonts w:ascii="仿宋_GB2312" w:eastAsia="仿宋_GB2312" w:hAnsiTheme="minorEastAsia"/>
          <w:sz w:val="32"/>
          <w:szCs w:val="32"/>
        </w:rPr>
        <w:t>常德经济技术开发区</w:t>
      </w:r>
      <w:r>
        <w:rPr>
          <w:rFonts w:ascii="仿宋_GB2312" w:eastAsia="仿宋_GB2312" w:hAnsiTheme="minorEastAsia"/>
          <w:sz w:val="32"/>
          <w:szCs w:val="32"/>
        </w:rPr>
        <w:fldChar w:fldCharType="end"/>
      </w:r>
      <w:r>
        <w:rPr>
          <w:rFonts w:ascii="仿宋_GB2312" w:eastAsia="仿宋_GB2312" w:hAnsiTheme="minorEastAsia"/>
          <w:sz w:val="32"/>
          <w:szCs w:val="32"/>
        </w:rPr>
        <w:t>。</w:t>
      </w:r>
      <w:r>
        <w:rPr>
          <w:rFonts w:hint="eastAsia" w:ascii="仿宋_GB2312" w:eastAsia="仿宋_GB2312" w:hAnsiTheme="minorEastAsia"/>
          <w:sz w:val="32"/>
          <w:szCs w:val="32"/>
        </w:rPr>
        <w:t>2015年4月，国务院批复同意设立湖南湘江新区，成为全国第12个、中部地区首个国家级新区。</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根据2019年1月出台的《湖南创新型省份建设实施方案》，到2020年，湖南要力争每个市州至少有1家国家级科技型园区，省级科技型园区达到100家。依托各类园区，在工程机械、轨道交通等领域培育形成15个千亿产业集群；到2020年，国家级和省级工程研究中心、工程实验室、企业技术中心、产业创新中心突破700家。</w:t>
      </w:r>
    </w:p>
    <w:p>
      <w:pPr>
        <w:pStyle w:val="4"/>
        <w:rPr>
          <w:rFonts w:ascii="仿宋_GB2312" w:eastAsia="仿宋_GB2312" w:cs="Times New Roman" w:hAnsiTheme="minorEastAsia"/>
          <w:bCs w:val="0"/>
        </w:rPr>
      </w:pPr>
      <w:bookmarkStart w:id="17" w:name="_Toc7299990"/>
      <w:r>
        <w:rPr>
          <w:rFonts w:hint="eastAsia" w:ascii="仿宋_GB2312" w:eastAsia="仿宋_GB2312" w:cs="Times New Roman" w:hAnsiTheme="minorEastAsia"/>
          <w:bCs w:val="0"/>
        </w:rPr>
        <w:t>1</w:t>
      </w:r>
      <w:r>
        <w:rPr>
          <w:rFonts w:ascii="仿宋_GB2312" w:eastAsia="仿宋_GB2312" w:cs="Times New Roman" w:hAnsiTheme="minorEastAsia"/>
          <w:bCs w:val="0"/>
        </w:rPr>
        <w:t>.3.2</w:t>
      </w:r>
      <w:r>
        <w:rPr>
          <w:rFonts w:hint="eastAsia" w:ascii="仿宋_GB2312" w:eastAsia="仿宋_GB2312" w:cs="Times New Roman" w:hAnsiTheme="minorEastAsia"/>
          <w:bCs w:val="0"/>
        </w:rPr>
        <w:t>综合保税区</w:t>
      </w:r>
      <w:bookmarkEnd w:id="17"/>
    </w:p>
    <w:p>
      <w:pPr>
        <w:pStyle w:val="6"/>
        <w:adjustRightInd w:val="0"/>
        <w:snapToGrid w:val="0"/>
        <w:spacing w:line="600" w:lineRule="exact"/>
        <w:ind w:firstLine="640" w:firstLineChars="200"/>
        <w:rPr>
          <w:rFonts w:ascii="仿宋_GB2312" w:eastAsia="仿宋_GB2312" w:hAnsiTheme="minorEastAsia"/>
          <w:b/>
          <w:color w:val="FF0000"/>
          <w:sz w:val="32"/>
          <w:szCs w:val="32"/>
          <w:u w:val="single"/>
        </w:rPr>
      </w:pPr>
      <w:r>
        <w:rPr>
          <w:rFonts w:hint="eastAsia" w:ascii="仿宋_GB2312" w:eastAsia="仿宋_GB2312" w:hAnsiTheme="minorEastAsia"/>
          <w:sz w:val="32"/>
          <w:szCs w:val="32"/>
        </w:rPr>
        <w:t>改革开放</w:t>
      </w:r>
      <w:r>
        <w:rPr>
          <w:rFonts w:ascii="仿宋_GB2312" w:eastAsia="仿宋_GB2312" w:hAnsiTheme="minorEastAsia"/>
          <w:sz w:val="32"/>
          <w:szCs w:val="32"/>
        </w:rPr>
        <w:t>四十年来，</w:t>
      </w:r>
      <w:r>
        <w:rPr>
          <w:rFonts w:hint="eastAsia" w:ascii="仿宋_GB2312" w:eastAsia="仿宋_GB2312" w:hAnsiTheme="minorEastAsia"/>
          <w:sz w:val="32"/>
          <w:szCs w:val="32"/>
        </w:rPr>
        <w:t>湖南省</w:t>
      </w:r>
      <w:r>
        <w:rPr>
          <w:rFonts w:ascii="仿宋_GB2312" w:eastAsia="仿宋_GB2312" w:hAnsiTheme="minorEastAsia"/>
          <w:sz w:val="32"/>
          <w:szCs w:val="32"/>
        </w:rPr>
        <w:t>以扩大开放为牵引</w:t>
      </w:r>
      <w:r>
        <w:rPr>
          <w:rFonts w:hint="eastAsia" w:ascii="仿宋_GB2312" w:eastAsia="仿宋_GB2312" w:hAnsiTheme="minorEastAsia"/>
          <w:sz w:val="32"/>
          <w:szCs w:val="32"/>
        </w:rPr>
        <w:t>，</w:t>
      </w:r>
      <w:r>
        <w:rPr>
          <w:rFonts w:ascii="仿宋_GB2312" w:eastAsia="仿宋_GB2312" w:hAnsiTheme="minorEastAsia"/>
          <w:sz w:val="32"/>
          <w:szCs w:val="32"/>
        </w:rPr>
        <w:t>先后设立了衡阳、湘潭、岳阳、长沙、郴州5个</w:t>
      </w:r>
      <w:r>
        <w:rPr>
          <w:rFonts w:hint="eastAsia" w:ascii="仿宋_GB2312" w:eastAsia="仿宋_GB2312" w:hAnsiTheme="minorEastAsia"/>
          <w:sz w:val="32"/>
          <w:szCs w:val="32"/>
        </w:rPr>
        <w:t>综合保税区</w:t>
      </w:r>
      <w:r>
        <w:rPr>
          <w:rFonts w:ascii="仿宋_GB2312" w:eastAsia="仿宋_GB2312" w:hAnsiTheme="minorEastAsia"/>
          <w:sz w:val="32"/>
          <w:szCs w:val="32"/>
        </w:rPr>
        <w:t>，长沙金霞</w:t>
      </w:r>
      <w:r>
        <w:rPr>
          <w:rFonts w:hint="eastAsia" w:ascii="仿宋_GB2312" w:eastAsia="仿宋_GB2312" w:hAnsiTheme="minorEastAsia"/>
          <w:sz w:val="32"/>
          <w:szCs w:val="32"/>
        </w:rPr>
        <w:t>、</w:t>
      </w:r>
      <w:r>
        <w:rPr>
          <w:rFonts w:ascii="仿宋_GB2312" w:eastAsia="仿宋_GB2312" w:hAnsiTheme="minorEastAsia"/>
          <w:sz w:val="32"/>
          <w:szCs w:val="32"/>
        </w:rPr>
        <w:t>株洲铜塘湾两个保税物流中心</w:t>
      </w:r>
      <w:r>
        <w:rPr>
          <w:rFonts w:hint="eastAsia" w:ascii="仿宋_GB2312" w:eastAsia="仿宋_GB2312" w:hAnsiTheme="minorEastAsia"/>
          <w:sz w:val="32"/>
          <w:szCs w:val="32"/>
        </w:rPr>
        <w:t>（B型），</w:t>
      </w:r>
      <w:r>
        <w:rPr>
          <w:rFonts w:ascii="仿宋_GB2312" w:eastAsia="仿宋_GB2312" w:hAnsiTheme="minorEastAsia"/>
          <w:sz w:val="32"/>
          <w:szCs w:val="32"/>
        </w:rPr>
        <w:t>开通了直达21个国家和地区的59条国际航线，开放平台数量居中部第一。</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衡阳综合保税区</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全国第十八家国家级综合</w:t>
      </w:r>
      <w:r>
        <w:fldChar w:fldCharType="begin"/>
      </w:r>
      <w:r>
        <w:instrText xml:space="preserve"> HYPERLINK "https://baike.so.com/doc/17526-18138.html" \t "_blank" </w:instrText>
      </w:r>
      <w:r>
        <w:fldChar w:fldCharType="separate"/>
      </w:r>
      <w:r>
        <w:rPr>
          <w:rFonts w:ascii="仿宋_GB2312" w:eastAsia="仿宋_GB2312" w:hAnsiTheme="minorEastAsia"/>
          <w:sz w:val="32"/>
          <w:szCs w:val="32"/>
        </w:rPr>
        <w:t>保税区</w:t>
      </w:r>
      <w:r>
        <w:rPr>
          <w:rFonts w:ascii="仿宋_GB2312" w:eastAsia="仿宋_GB2312" w:hAnsiTheme="minorEastAsia"/>
          <w:sz w:val="32"/>
          <w:szCs w:val="32"/>
        </w:rPr>
        <w:fldChar w:fldCharType="end"/>
      </w:r>
      <w:r>
        <w:rPr>
          <w:rFonts w:ascii="仿宋_GB2312" w:eastAsia="仿宋_GB2312" w:hAnsiTheme="minorEastAsia"/>
          <w:sz w:val="32"/>
          <w:szCs w:val="32"/>
        </w:rPr>
        <w:t>、中部第三家综合保税区、湖南省第一家综合保税区</w:t>
      </w:r>
      <w:r>
        <w:rPr>
          <w:rFonts w:hint="eastAsia" w:ascii="仿宋_GB2312" w:eastAsia="仿宋_GB2312" w:hAnsiTheme="minorEastAsia"/>
          <w:sz w:val="32"/>
          <w:szCs w:val="32"/>
        </w:rPr>
        <w:t>。</w:t>
      </w:r>
      <w:r>
        <w:rPr>
          <w:rFonts w:ascii="仿宋_GB2312" w:eastAsia="仿宋_GB2312" w:hAnsiTheme="minorEastAsia"/>
          <w:sz w:val="32"/>
          <w:szCs w:val="32"/>
        </w:rPr>
        <w:t>2012年10月25号，国务院批准设立衡阳综合保税区</w:t>
      </w:r>
      <w:r>
        <w:rPr>
          <w:rFonts w:hint="eastAsia" w:ascii="仿宋_GB2312" w:eastAsia="仿宋_GB2312" w:hAnsiTheme="minorEastAsia"/>
          <w:sz w:val="32"/>
          <w:szCs w:val="32"/>
        </w:rPr>
        <w:t>，</w:t>
      </w:r>
      <w:r>
        <w:rPr>
          <w:rFonts w:ascii="仿宋_GB2312" w:eastAsia="仿宋_GB2312" w:hAnsiTheme="minorEastAsia"/>
          <w:sz w:val="32"/>
          <w:szCs w:val="32"/>
        </w:rPr>
        <w:t>总规划面积2.57平方公里</w:t>
      </w:r>
      <w:r>
        <w:rPr>
          <w:rFonts w:hint="eastAsia" w:ascii="仿宋_GB2312" w:eastAsia="仿宋_GB2312" w:hAnsiTheme="minorEastAsia"/>
          <w:sz w:val="32"/>
          <w:szCs w:val="32"/>
        </w:rPr>
        <w:t>。</w:t>
      </w:r>
      <w:r>
        <w:rPr>
          <w:rFonts w:ascii="仿宋_GB2312" w:eastAsia="仿宋_GB2312" w:hAnsiTheme="minorEastAsia"/>
          <w:sz w:val="32"/>
          <w:szCs w:val="32"/>
        </w:rPr>
        <w:t>2014年9月9日，衡阳综合保税区正式封关运行。</w:t>
      </w:r>
      <w:r>
        <w:rPr>
          <w:rFonts w:hint="eastAsia" w:ascii="仿宋_GB2312" w:eastAsia="仿宋_GB2312" w:hAnsiTheme="minorEastAsia"/>
          <w:sz w:val="32"/>
          <w:szCs w:val="32"/>
        </w:rPr>
        <w:t>至</w:t>
      </w:r>
      <w:r>
        <w:rPr>
          <w:rFonts w:ascii="仿宋_GB2312" w:eastAsia="仿宋_GB2312" w:hAnsiTheme="minorEastAsia"/>
          <w:sz w:val="32"/>
          <w:szCs w:val="32"/>
        </w:rPr>
        <w:t>2017年，衡阳综合保税区进出口总值3.24亿美元，比上年同比增长1348.5%，增速位列</w:t>
      </w:r>
      <w:r>
        <w:rPr>
          <w:rFonts w:hint="eastAsia" w:ascii="仿宋_GB2312" w:eastAsia="仿宋_GB2312" w:hAnsiTheme="minorEastAsia"/>
          <w:sz w:val="32"/>
          <w:szCs w:val="32"/>
        </w:rPr>
        <w:t>湖南</w:t>
      </w:r>
      <w:r>
        <w:rPr>
          <w:rFonts w:ascii="仿宋_GB2312" w:eastAsia="仿宋_GB2312" w:hAnsiTheme="minorEastAsia"/>
          <w:sz w:val="32"/>
          <w:szCs w:val="32"/>
        </w:rPr>
        <w:t>全省第一</w:t>
      </w:r>
      <w:r>
        <w:rPr>
          <w:rFonts w:hint="eastAsia" w:ascii="仿宋_GB2312" w:eastAsia="仿宋_GB2312" w:hAnsiTheme="minorEastAsia"/>
          <w:sz w:val="32"/>
          <w:szCs w:val="32"/>
        </w:rPr>
        <w:t>；</w:t>
      </w:r>
      <w:r>
        <w:rPr>
          <w:rFonts w:ascii="仿宋_GB2312" w:eastAsia="仿宋_GB2312" w:hAnsiTheme="minorEastAsia"/>
          <w:sz w:val="32"/>
          <w:szCs w:val="32"/>
        </w:rPr>
        <w:t>一般贸易进出口额3.04亿美元</w:t>
      </w:r>
      <w:r>
        <w:rPr>
          <w:rFonts w:hint="eastAsia" w:ascii="仿宋_GB2312" w:eastAsia="仿宋_GB2312" w:hAnsiTheme="minorEastAsia"/>
          <w:sz w:val="32"/>
          <w:szCs w:val="32"/>
        </w:rPr>
        <w:t>，</w:t>
      </w:r>
      <w:r>
        <w:rPr>
          <w:rFonts w:ascii="仿宋_GB2312" w:eastAsia="仿宋_GB2312" w:hAnsiTheme="minorEastAsia"/>
          <w:sz w:val="32"/>
          <w:szCs w:val="32"/>
        </w:rPr>
        <w:t>位列全省第三；共征缴税收总额3.28亿元</w:t>
      </w:r>
      <w:r>
        <w:rPr>
          <w:rFonts w:hint="eastAsia" w:ascii="仿宋_GB2312" w:eastAsia="仿宋_GB2312" w:hAnsiTheme="minorEastAsia"/>
          <w:sz w:val="32"/>
          <w:szCs w:val="32"/>
        </w:rPr>
        <w:t>，</w:t>
      </w:r>
      <w:r>
        <w:rPr>
          <w:rFonts w:ascii="仿宋_GB2312" w:eastAsia="仿宋_GB2312" w:hAnsiTheme="minorEastAsia"/>
          <w:sz w:val="32"/>
          <w:szCs w:val="32"/>
        </w:rPr>
        <w:t>促使衡阳海关全年超出税收征缴控制线2亿元，提前完成征缴业绩。</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湘潭综合保税区</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2013年9月7日获国务院批准设立，总用地面积115.5亩。2015年4月20日</w:t>
      </w:r>
      <w:r>
        <w:rPr>
          <w:rFonts w:hint="eastAsia" w:ascii="仿宋_GB2312" w:eastAsia="仿宋_GB2312" w:hAnsiTheme="minorEastAsia"/>
          <w:sz w:val="32"/>
          <w:szCs w:val="32"/>
        </w:rPr>
        <w:t>一期</w:t>
      </w:r>
      <w:r>
        <w:rPr>
          <w:rFonts w:ascii="仿宋_GB2312" w:eastAsia="仿宋_GB2312" w:hAnsiTheme="minorEastAsia"/>
          <w:sz w:val="32"/>
          <w:szCs w:val="32"/>
        </w:rPr>
        <w:t>封关运行，二期1.5平方公里启动建设。</w:t>
      </w:r>
      <w:r>
        <w:rPr>
          <w:rFonts w:hint="eastAsia" w:ascii="仿宋_GB2312" w:eastAsia="仿宋_GB2312" w:hAnsiTheme="minorEastAsia"/>
          <w:sz w:val="32"/>
          <w:szCs w:val="32"/>
        </w:rPr>
        <w:t>至</w:t>
      </w:r>
      <w:r>
        <w:rPr>
          <w:rFonts w:ascii="仿宋_GB2312" w:eastAsia="仿宋_GB2312" w:hAnsiTheme="minorEastAsia"/>
          <w:sz w:val="32"/>
          <w:szCs w:val="32"/>
        </w:rPr>
        <w:t>2017年，湘潭综合保完成技工贸收入220.11亿元，同比增长0.86倍；工业总产值35.78亿元，同比增长9.18倍；投资额12.69亿元，同比增长0.09倍；进出口额11.25亿美元，同比增长1.02倍。其中，正在建设的步步高云通城市共同配送平台项目和九城通用航空直升机项目，分别总投资7.5亿元和3亿元，属于区内重点在建项目，项目建成后将带动一批上下游企业集聚，推动产业集群发展。</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岳阳城陵矶综合保税区</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2014年7月5日经国务院批复设立，2016年8月9日正式封关运营。园区规划总面积2.98平方公里</w:t>
      </w:r>
      <w:r>
        <w:rPr>
          <w:rFonts w:hint="eastAsia" w:ascii="仿宋_GB2312" w:eastAsia="仿宋_GB2312" w:hAnsiTheme="minorEastAsia"/>
          <w:sz w:val="32"/>
          <w:szCs w:val="32"/>
        </w:rPr>
        <w:t>，</w:t>
      </w:r>
      <w:r>
        <w:rPr>
          <w:rFonts w:ascii="仿宋_GB2312" w:eastAsia="仿宋_GB2312" w:hAnsiTheme="minorEastAsia"/>
          <w:sz w:val="32"/>
          <w:szCs w:val="32"/>
        </w:rPr>
        <w:t>初期重点发展电子信息装配、进口粮食加工、进口肉类加工、进口天然橡胶加工和进出口商品展示交易等五大产业。2017年，城陵矶综合保税区共完成进出口贸易额14.8亿美元，被湖南省商务厅评为2017年度全省海关特殊监管区先进单位。</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长沙黄花综合保税区</w:t>
      </w:r>
    </w:p>
    <w:p>
      <w:pPr>
        <w:spacing w:line="360" w:lineRule="auto"/>
        <w:ind w:firstLine="640" w:firstLineChars="200"/>
        <w:jc w:val="left"/>
        <w:rPr>
          <w:rFonts w:ascii="仿宋_GB2312" w:eastAsia="仿宋_GB2312" w:cs="Times New Roman" w:hAnsiTheme="minorEastAsia"/>
          <w:sz w:val="32"/>
          <w:szCs w:val="32"/>
        </w:rPr>
      </w:pPr>
      <w:r>
        <w:rPr>
          <w:rFonts w:hint="eastAsia" w:ascii="仿宋_GB2312" w:eastAsia="仿宋_GB2312" w:cs="Times New Roman" w:hAnsiTheme="minorEastAsia"/>
          <w:sz w:val="32"/>
          <w:szCs w:val="32"/>
        </w:rPr>
        <w:t>2016年5月31日经国务院批准设立,</w:t>
      </w:r>
      <w:r>
        <w:rPr>
          <w:rFonts w:ascii="仿宋_GB2312" w:eastAsia="仿宋_GB2312" w:cs="Times New Roman" w:hAnsiTheme="minorEastAsia"/>
          <w:sz w:val="32"/>
          <w:szCs w:val="32"/>
        </w:rPr>
        <w:t xml:space="preserve"> 2017年6月正式封关运行</w:t>
      </w:r>
      <w:r>
        <w:rPr>
          <w:rFonts w:hint="eastAsia" w:ascii="仿宋_GB2312" w:eastAsia="仿宋_GB2312" w:cs="Times New Roman" w:hAnsiTheme="minorEastAsia"/>
          <w:sz w:val="32"/>
          <w:szCs w:val="32"/>
        </w:rPr>
        <w:t>，规划面积1.99平方公里，位于长沙市东部长沙临空经济示范区的核心区，是全省唯一、全国为数不多的临空型综合保税区，</w:t>
      </w:r>
      <w:r>
        <w:rPr>
          <w:rFonts w:hint="eastAsia" w:ascii="仿宋_GB2312" w:eastAsia="仿宋_GB2312" w:hAnsiTheme="minorEastAsia"/>
          <w:sz w:val="32"/>
          <w:szCs w:val="32"/>
        </w:rPr>
        <w:t>重点引进电子信息、生物医药、装备制造、精密仪器、新材料等航空偏好型产业，致力于打造成为长沙全市乃至湖南全省“开放发展的新引擎、外贸服务的新基地、临空经济的新平台、结构优化的新战场”，</w:t>
      </w:r>
      <w:r>
        <w:rPr>
          <w:rFonts w:hint="eastAsia" w:ascii="仿宋_GB2312" w:eastAsia="仿宋_GB2312" w:cs="Times New Roman" w:hAnsiTheme="minorEastAsia"/>
          <w:sz w:val="32"/>
          <w:szCs w:val="32"/>
        </w:rPr>
        <w:t>。2018年</w:t>
      </w:r>
      <w:r>
        <w:rPr>
          <w:rFonts w:ascii="仿宋_GB2312" w:eastAsia="仿宋_GB2312" w:cs="Times New Roman" w:hAnsiTheme="minorEastAsia"/>
          <w:sz w:val="32"/>
          <w:szCs w:val="32"/>
        </w:rPr>
        <w:t>实现进出口额26.83亿美元，跃居湖南省7个海关特殊监管区第一位，在中国96个综保区中位列17位。</w:t>
      </w:r>
    </w:p>
    <w:p>
      <w:pPr>
        <w:spacing w:line="360" w:lineRule="auto"/>
        <w:ind w:firstLine="643" w:firstLineChars="200"/>
        <w:jc w:val="left"/>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郴州综合保税区</w:t>
      </w:r>
    </w:p>
    <w:p>
      <w:pPr>
        <w:spacing w:line="360" w:lineRule="auto"/>
        <w:ind w:firstLine="640" w:firstLineChars="200"/>
        <w:jc w:val="left"/>
        <w:rPr>
          <w:rFonts w:ascii="仿宋_GB2312" w:eastAsia="仿宋_GB2312" w:hAnsiTheme="minorEastAsia"/>
          <w:sz w:val="32"/>
          <w:szCs w:val="32"/>
        </w:rPr>
      </w:pPr>
      <w:r>
        <w:rPr>
          <w:rFonts w:ascii="仿宋_GB2312" w:eastAsia="仿宋_GB2312" w:hAnsiTheme="minorEastAsia"/>
          <w:sz w:val="32"/>
          <w:szCs w:val="32"/>
        </w:rPr>
        <w:t>2016年12月6日经国务院批准由郴州出口加工区整合优化而来，规划面积1.06平方公里，是全省第五家综合保税区，也是国务院对湖南省唯一批示的综合保税区，2018年8月21日正式封关运行。目前，郴州综合保税区已获得增值税一般纳税人资格试点，完成了郴州综合保税区关区名称和统计代码的变更，顺利推进了金关二期辅助系统与现有企业进行系统切换，全省保税综合服务平台的开发建设项目已完成立项，正在办理招投标手续。此外区内招商引资工作正顺利推进，全力以赴引进盈鸿宝小家电组装、联石液晶显示模组一体化、三分地稀散金属等6个项目，合同引资2.03亿元，积极对接在洽谈项目17个，其中有意向签约项目8个。</w:t>
      </w:r>
    </w:p>
    <w:p>
      <w:pPr>
        <w:pStyle w:val="4"/>
        <w:rPr>
          <w:rFonts w:ascii="仿宋_GB2312" w:eastAsia="仿宋_GB2312" w:cs="Times New Roman" w:hAnsiTheme="minorEastAsia"/>
          <w:bCs w:val="0"/>
        </w:rPr>
      </w:pPr>
      <w:bookmarkStart w:id="18" w:name="_Toc7299991"/>
      <w:r>
        <w:rPr>
          <w:rFonts w:hint="eastAsia" w:ascii="仿宋_GB2312" w:eastAsia="仿宋_GB2312" w:cs="Times New Roman" w:hAnsiTheme="minorEastAsia"/>
          <w:bCs w:val="0"/>
        </w:rPr>
        <w:t>1</w:t>
      </w:r>
      <w:r>
        <w:rPr>
          <w:rFonts w:ascii="仿宋_GB2312" w:eastAsia="仿宋_GB2312" w:cs="Times New Roman" w:hAnsiTheme="minorEastAsia"/>
          <w:bCs w:val="0"/>
        </w:rPr>
        <w:t>.3.3</w:t>
      </w:r>
      <w:r>
        <w:rPr>
          <w:rFonts w:hint="eastAsia" w:ascii="仿宋_GB2312" w:eastAsia="仿宋_GB2312" w:cs="Times New Roman" w:hAnsiTheme="minorEastAsia"/>
          <w:bCs w:val="0"/>
        </w:rPr>
        <w:t>产业集群</w:t>
      </w:r>
      <w:bookmarkEnd w:id="18"/>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在产业集群培育和打造方面，湖南省持续推进制造强省建设，始终以工业新兴优势产业链为突出重点，不断建链、强链、延链、补链，着力打造工程机械、先进轨道交通装备、航空航天三大世界级产业集群，安全可靠计算机和集成电路、新材料两大国家级产业集群，取得明显突破。</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工程机械领域，三一集团在民参军、重卡等生产资质方面均取得重大突破；铁建重工创新能力强，已经进入全国工程机械企业前5名；中联重科环卫机械等智能化新产品走俏市场。</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先进轨道交通装备领域，株洲申报先进轨道交通装备国家级制造业创新中心已通过工信部组织的专家论证，将成为湖南省首个国家级制造业创新中心。</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航空航天领域，湖南省与国家国防科工局将开展局省合作，与中国商飞的合作正在不断拓展，中航科技、中航科工等军工央企均明确表示将在湖南作重点布局，中小航空发动机、通用航空产业加快发展。</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安全可靠计算机和集成电路领域，湖南科教、人才、技术、产业等方面的优势都比较明显，中国电子的整机落户湖南，打造产业链龙头企业；加上湖南在集成电路设计、装备制造、封装、显示材料等领域的独特技术优势，通过整合资源，可以较快形成完整的产业链条。中车株机所的IGBT已经实现从“跟跑”到“并跑”的转变，开始向“领跑”迈进。</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新材料领域，硬质合金、轻合金、先进陶瓷材料、碳基材料、化工新材料等比较优势明显；中南大学的有色冶金专业排名全球第一；宁乡已成为全国新能源电池材料企业主要聚集区。</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根据2019年1月出台的《湖南创新型省份建设实施方案》，到2020年，湖南要依托各类园区，在工程机械、轨道交通等领域培育形成15个千亿产业集群，其中长株潭地区要打造自主创新核心增长极，以长沙“科创谷”、株洲“动力谷”、湘潭“智造谷”为引领，建设长株潭国家自主创新示范区展示中心暨湖南科技创新中心等；环洞庭湖地区要加快对接长江经济带，夯实创新基础，发展特色产业；湘南湘西要以承接产业转移示范区建设为契机，加大创新力度，加快开放步伐。</w:t>
      </w:r>
    </w:p>
    <w:p>
      <w:pPr>
        <w:pStyle w:val="6"/>
        <w:spacing w:line="360" w:lineRule="auto"/>
        <w:ind w:firstLine="560" w:firstLineChars="200"/>
        <w:rPr>
          <w:rFonts w:eastAsia="仿宋_GB2312"/>
          <w:sz w:val="28"/>
        </w:rPr>
      </w:pPr>
    </w:p>
    <w:p>
      <w:pPr>
        <w:pStyle w:val="2"/>
        <w:sectPr>
          <w:pgSz w:w="11906" w:h="16838"/>
          <w:pgMar w:top="1440" w:right="1800" w:bottom="1440" w:left="1800" w:header="851" w:footer="992" w:gutter="0"/>
          <w:cols w:space="425" w:num="1"/>
          <w:docGrid w:type="lines" w:linePitch="312" w:charSpace="0"/>
        </w:sectPr>
      </w:pPr>
      <w:bookmarkStart w:id="19" w:name="_Toc4600196"/>
    </w:p>
    <w:p>
      <w:pPr>
        <w:pStyle w:val="2"/>
        <w:spacing w:line="600" w:lineRule="exact"/>
        <w:rPr>
          <w:rFonts w:ascii="黑体" w:hAnsi="黑体" w:eastAsia="黑体"/>
          <w:sz w:val="32"/>
        </w:rPr>
      </w:pPr>
      <w:bookmarkStart w:id="20" w:name="_Toc6551632"/>
      <w:bookmarkStart w:id="21" w:name="_Toc7299992"/>
      <w:bookmarkStart w:id="22" w:name="_Toc7300060"/>
      <w:r>
        <w:rPr>
          <w:rFonts w:hint="eastAsia" w:ascii="黑体" w:hAnsi="黑体" w:eastAsia="黑体"/>
          <w:sz w:val="32"/>
        </w:rPr>
        <w:t>2.物流业发展概况</w:t>
      </w:r>
      <w:bookmarkEnd w:id="19"/>
      <w:bookmarkEnd w:id="20"/>
      <w:bookmarkEnd w:id="21"/>
      <w:bookmarkEnd w:id="22"/>
    </w:p>
    <w:p>
      <w:pPr>
        <w:pStyle w:val="3"/>
        <w:rPr>
          <w:rFonts w:ascii="楷体" w:hAnsi="楷体" w:eastAsia="楷体"/>
        </w:rPr>
      </w:pPr>
      <w:bookmarkStart w:id="23" w:name="_Toc7299993"/>
      <w:bookmarkStart w:id="24" w:name="_Toc7300061"/>
      <w:bookmarkStart w:id="25" w:name="_Toc6551633"/>
      <w:r>
        <w:rPr>
          <w:rFonts w:hint="eastAsia" w:ascii="楷体" w:hAnsi="楷体" w:eastAsia="楷体"/>
        </w:rPr>
        <w:t>2.1社会物流总额</w:t>
      </w:r>
      <w:bookmarkEnd w:id="23"/>
      <w:bookmarkEnd w:id="24"/>
      <w:bookmarkEnd w:id="25"/>
    </w:p>
    <w:p>
      <w:pPr>
        <w:pStyle w:val="4"/>
        <w:rPr>
          <w:rFonts w:ascii="仿宋_GB2312" w:eastAsia="仿宋_GB2312" w:cs="Times New Roman" w:hAnsiTheme="minorEastAsia"/>
          <w:bCs w:val="0"/>
        </w:rPr>
      </w:pPr>
      <w:bookmarkStart w:id="26" w:name="_Toc7299994"/>
      <w:r>
        <w:rPr>
          <w:rFonts w:hint="eastAsia" w:ascii="仿宋_GB2312" w:eastAsia="仿宋_GB2312" w:cs="Times New Roman" w:hAnsiTheme="minorEastAsia"/>
          <w:bCs w:val="0"/>
        </w:rPr>
        <w:t>2</w:t>
      </w:r>
      <w:r>
        <w:rPr>
          <w:rFonts w:ascii="仿宋_GB2312" w:eastAsia="仿宋_GB2312" w:cs="Times New Roman" w:hAnsiTheme="minorEastAsia"/>
          <w:bCs w:val="0"/>
        </w:rPr>
        <w:t>.1.1</w:t>
      </w:r>
      <w:r>
        <w:rPr>
          <w:rFonts w:hint="eastAsia" w:ascii="仿宋_GB2312" w:eastAsia="仿宋_GB2312" w:cs="Times New Roman" w:hAnsiTheme="minorEastAsia"/>
          <w:bCs w:val="0"/>
        </w:rPr>
        <w:t>社会物流总额</w:t>
      </w:r>
      <w:bookmarkEnd w:id="26"/>
    </w:p>
    <w:p>
      <w:pPr>
        <w:pStyle w:val="6"/>
        <w:adjustRightInd w:val="0"/>
        <w:snapToGrid w:val="0"/>
        <w:spacing w:line="600" w:lineRule="exact"/>
        <w:ind w:firstLine="640" w:firstLineChars="200"/>
        <w:rPr>
          <w:rFonts w:ascii="仿宋_GB2312" w:eastAsia="仿宋_GB2312"/>
          <w:sz w:val="32"/>
          <w:szCs w:val="32"/>
        </w:rPr>
      </w:pPr>
      <w:bookmarkStart w:id="27" w:name="_Toc6551634"/>
      <w:r>
        <w:rPr>
          <w:rFonts w:hint="eastAsia" w:ascii="仿宋_GB2312" w:eastAsia="仿宋_GB2312"/>
          <w:sz w:val="32"/>
          <w:szCs w:val="32"/>
        </w:rPr>
        <w:t>统计数据显示，2018年湖南全省物流规模平稳增长，物流收入大幅增加、费用水平持续下降，呈现出“两增一降”的发展趋势。</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sz w:val="32"/>
          <w:szCs w:val="32"/>
        </w:rPr>
        <w:t>2018年，全省社会物流总额为108576亿元，按可比价格计算，比2</w:t>
      </w:r>
      <w:r>
        <w:rPr>
          <w:rFonts w:ascii="仿宋_GB2312" w:eastAsia="仿宋_GB2312"/>
          <w:sz w:val="32"/>
          <w:szCs w:val="32"/>
        </w:rPr>
        <w:t>017</w:t>
      </w:r>
      <w:r>
        <w:rPr>
          <w:rFonts w:hint="eastAsia" w:ascii="仿宋_GB2312" w:eastAsia="仿宋_GB2312"/>
          <w:sz w:val="32"/>
          <w:szCs w:val="32"/>
        </w:rPr>
        <w:t>年度的98480亿元增长8%，高于全国平均水平1.5个百分点，</w:t>
      </w:r>
      <w:r>
        <w:rPr>
          <w:rFonts w:ascii="仿宋_GB2312" w:eastAsia="仿宋_GB2312"/>
          <w:sz w:val="32"/>
          <w:szCs w:val="32"/>
        </w:rPr>
        <w:t>相比</w:t>
      </w:r>
      <w:r>
        <w:rPr>
          <w:rFonts w:hint="eastAsia" w:ascii="仿宋_GB2312" w:eastAsia="仿宋_GB2312"/>
          <w:sz w:val="32"/>
          <w:szCs w:val="32"/>
        </w:rPr>
        <w:t>2015年92500亿元</w:t>
      </w:r>
      <w:r>
        <w:rPr>
          <w:rFonts w:ascii="仿宋_GB2312" w:eastAsia="仿宋_GB2312"/>
          <w:sz w:val="32"/>
          <w:szCs w:val="32"/>
        </w:rPr>
        <w:t>增长</w:t>
      </w:r>
      <w:r>
        <w:rPr>
          <w:rFonts w:hint="eastAsia" w:ascii="仿宋_GB2312" w:eastAsia="仿宋_GB2312"/>
          <w:sz w:val="32"/>
          <w:szCs w:val="32"/>
        </w:rPr>
        <w:t>17.4</w:t>
      </w:r>
      <w:r>
        <w:rPr>
          <w:rFonts w:ascii="仿宋_GB2312" w:eastAsia="仿宋_GB2312"/>
          <w:sz w:val="32"/>
          <w:szCs w:val="32"/>
        </w:rPr>
        <w:t>%</w:t>
      </w:r>
      <w:r>
        <w:rPr>
          <w:rFonts w:hint="eastAsia" w:ascii="仿宋_GB2312" w:eastAsia="仿宋_GB2312"/>
          <w:sz w:val="32"/>
          <w:szCs w:val="32"/>
        </w:rPr>
        <w:t>；社会物流总费用为5551.8亿元，同比增长4.78%，增幅低于全国平均水平。社会物流总费用与GDP的比率为15.2%，比上年度下降0.1个百分点；物流业总收入为3572.7亿元，比上年度增长8.5%。样本企业和重点企业汇总的数据显示，60%的企业经营盈利，比上年增加10个百分点，25%的企业收支持平，比上年增加5个百分点，15%的企业处于亏损状态，比上年减少5个百分点。</w:t>
      </w:r>
    </w:p>
    <w:p>
      <w:pPr>
        <w:pStyle w:val="4"/>
        <w:rPr>
          <w:rFonts w:ascii="仿宋_GB2312" w:eastAsia="仿宋_GB2312" w:cs="Times New Roman" w:hAnsiTheme="minorEastAsia"/>
          <w:bCs w:val="0"/>
        </w:rPr>
      </w:pPr>
      <w:bookmarkStart w:id="28" w:name="_Toc7299995"/>
      <w:r>
        <w:rPr>
          <w:rFonts w:hint="eastAsia" w:ascii="仿宋_GB2312" w:eastAsia="仿宋_GB2312" w:cs="Times New Roman" w:hAnsiTheme="minorEastAsia"/>
          <w:bCs w:val="0"/>
        </w:rPr>
        <w:t>2</w:t>
      </w:r>
      <w:r>
        <w:rPr>
          <w:rFonts w:ascii="仿宋_GB2312" w:eastAsia="仿宋_GB2312" w:cs="Times New Roman" w:hAnsiTheme="minorEastAsia"/>
          <w:bCs w:val="0"/>
        </w:rPr>
        <w:t>.1.2</w:t>
      </w:r>
      <w:r>
        <w:rPr>
          <w:rFonts w:hint="eastAsia" w:ascii="仿宋_GB2312" w:eastAsia="仿宋_GB2312" w:cs="Times New Roman" w:hAnsiTheme="minorEastAsia"/>
          <w:bCs w:val="0"/>
        </w:rPr>
        <w:t>全社会货运量</w:t>
      </w:r>
      <w:bookmarkEnd w:id="28"/>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2018年，湖南省</w:t>
      </w:r>
      <w:r>
        <w:rPr>
          <w:rFonts w:ascii="仿宋_GB2312" w:eastAsia="仿宋_GB2312" w:hAnsiTheme="minorEastAsia"/>
          <w:sz w:val="32"/>
          <w:szCs w:val="32"/>
        </w:rPr>
        <w:t>全年货运量完成</w:t>
      </w:r>
      <w:r>
        <w:rPr>
          <w:rFonts w:hint="eastAsia" w:ascii="仿宋_GB2312" w:eastAsia="仿宋_GB2312" w:hAnsiTheme="minorEastAsia"/>
          <w:sz w:val="32"/>
          <w:szCs w:val="32"/>
        </w:rPr>
        <w:t>23.11亿吨，比2014年增长14%。其中公路</w:t>
      </w:r>
      <w:r>
        <w:rPr>
          <w:rFonts w:ascii="仿宋_GB2312" w:eastAsia="仿宋_GB2312" w:hAnsiTheme="minorEastAsia"/>
          <w:sz w:val="32"/>
          <w:szCs w:val="32"/>
        </w:rPr>
        <w:t>货运量</w:t>
      </w:r>
      <w:r>
        <w:rPr>
          <w:rFonts w:hint="eastAsia" w:ascii="仿宋_GB2312" w:eastAsia="仿宋_GB2312" w:hAnsiTheme="minorEastAsia"/>
          <w:sz w:val="32"/>
          <w:szCs w:val="32"/>
        </w:rPr>
        <w:t>20.4亿吨，占全省</w:t>
      </w:r>
      <w:r>
        <w:rPr>
          <w:rFonts w:ascii="仿宋_GB2312" w:eastAsia="仿宋_GB2312" w:hAnsiTheme="minorEastAsia"/>
          <w:sz w:val="32"/>
          <w:szCs w:val="32"/>
        </w:rPr>
        <w:t>货运量的比重为</w:t>
      </w:r>
      <w:r>
        <w:rPr>
          <w:rFonts w:hint="eastAsia" w:ascii="仿宋_GB2312" w:eastAsia="仿宋_GB2312" w:hAnsiTheme="minorEastAsia"/>
          <w:sz w:val="32"/>
          <w:szCs w:val="32"/>
        </w:rPr>
        <w:t>88.4%；水路</w:t>
      </w:r>
      <w:r>
        <w:rPr>
          <w:rFonts w:ascii="仿宋_GB2312" w:eastAsia="仿宋_GB2312" w:hAnsiTheme="minorEastAsia"/>
          <w:sz w:val="32"/>
          <w:szCs w:val="32"/>
        </w:rPr>
        <w:t>货运量</w:t>
      </w:r>
      <w:r>
        <w:rPr>
          <w:rFonts w:hint="eastAsia" w:ascii="仿宋_GB2312" w:eastAsia="仿宋_GB2312" w:hAnsiTheme="minorEastAsia"/>
          <w:sz w:val="32"/>
          <w:szCs w:val="32"/>
        </w:rPr>
        <w:t>2.1亿吨，占</w:t>
      </w:r>
      <w:r>
        <w:rPr>
          <w:rFonts w:ascii="仿宋_GB2312" w:eastAsia="仿宋_GB2312" w:hAnsiTheme="minorEastAsia"/>
          <w:sz w:val="32"/>
          <w:szCs w:val="32"/>
        </w:rPr>
        <w:t>比为</w:t>
      </w:r>
      <w:r>
        <w:rPr>
          <w:rFonts w:hint="eastAsia" w:ascii="仿宋_GB2312" w:eastAsia="仿宋_GB2312" w:hAnsiTheme="minorEastAsia"/>
          <w:sz w:val="32"/>
          <w:szCs w:val="32"/>
        </w:rPr>
        <w:t>9.1%；铁路</w:t>
      </w:r>
      <w:r>
        <w:rPr>
          <w:rFonts w:ascii="仿宋_GB2312" w:eastAsia="仿宋_GB2312" w:hAnsiTheme="minorEastAsia"/>
          <w:sz w:val="32"/>
          <w:szCs w:val="32"/>
        </w:rPr>
        <w:t>货运量</w:t>
      </w:r>
      <w:r>
        <w:rPr>
          <w:rFonts w:hint="eastAsia" w:ascii="仿宋_GB2312" w:eastAsia="仿宋_GB2312" w:hAnsiTheme="minorEastAsia"/>
          <w:sz w:val="32"/>
          <w:szCs w:val="32"/>
        </w:rPr>
        <w:t>4468万吨，占</w:t>
      </w:r>
      <w:r>
        <w:rPr>
          <w:rFonts w:ascii="仿宋_GB2312" w:eastAsia="仿宋_GB2312" w:hAnsiTheme="minorEastAsia"/>
          <w:sz w:val="32"/>
          <w:szCs w:val="32"/>
        </w:rPr>
        <w:t>比为</w:t>
      </w:r>
      <w:r>
        <w:rPr>
          <w:rFonts w:hint="eastAsia" w:ascii="仿宋_GB2312" w:eastAsia="仿宋_GB2312" w:hAnsiTheme="minorEastAsia"/>
          <w:sz w:val="32"/>
          <w:szCs w:val="32"/>
        </w:rPr>
        <w:t>1.9%；民航</w:t>
      </w:r>
      <w:r>
        <w:rPr>
          <w:rFonts w:ascii="仿宋_GB2312" w:eastAsia="仿宋_GB2312" w:hAnsiTheme="minorEastAsia"/>
          <w:sz w:val="32"/>
          <w:szCs w:val="32"/>
        </w:rPr>
        <w:t>货运量</w:t>
      </w:r>
      <w:r>
        <w:rPr>
          <w:rFonts w:hint="eastAsia" w:ascii="仿宋_GB2312" w:eastAsia="仿宋_GB2312" w:hAnsiTheme="minorEastAsia"/>
          <w:sz w:val="32"/>
          <w:szCs w:val="32"/>
        </w:rPr>
        <w:t>8.01万吨，占</w:t>
      </w:r>
      <w:r>
        <w:rPr>
          <w:rFonts w:ascii="仿宋_GB2312" w:eastAsia="仿宋_GB2312" w:hAnsiTheme="minorEastAsia"/>
          <w:sz w:val="32"/>
          <w:szCs w:val="32"/>
        </w:rPr>
        <w:t>比为</w:t>
      </w:r>
      <w:r>
        <w:rPr>
          <w:rFonts w:hint="eastAsia" w:ascii="仿宋_GB2312" w:eastAsia="仿宋_GB2312" w:hAnsiTheme="minorEastAsia"/>
          <w:sz w:val="32"/>
          <w:szCs w:val="32"/>
        </w:rPr>
        <w:t>0.003%。</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货物周转量</w:t>
      </w:r>
      <w:r>
        <w:rPr>
          <w:rFonts w:hint="eastAsia" w:ascii="仿宋_GB2312" w:eastAsia="仿宋_GB2312" w:hAnsiTheme="minorEastAsia"/>
          <w:sz w:val="32"/>
          <w:szCs w:val="32"/>
        </w:rPr>
        <w:t>5448.6</w:t>
      </w:r>
      <w:r>
        <w:rPr>
          <w:rFonts w:ascii="仿宋_GB2312" w:eastAsia="仿宋_GB2312" w:hAnsiTheme="minorEastAsia"/>
          <w:sz w:val="32"/>
          <w:szCs w:val="32"/>
        </w:rPr>
        <w:t>亿吨公里，增长</w:t>
      </w:r>
      <w:r>
        <w:rPr>
          <w:rFonts w:hint="eastAsia" w:ascii="仿宋_GB2312" w:eastAsia="仿宋_GB2312" w:hAnsiTheme="minorEastAsia"/>
          <w:sz w:val="32"/>
          <w:szCs w:val="32"/>
        </w:rPr>
        <w:t>1.8</w:t>
      </w:r>
      <w:r>
        <w:rPr>
          <w:rFonts w:ascii="仿宋_GB2312" w:eastAsia="仿宋_GB2312" w:hAnsiTheme="minorEastAsia"/>
          <w:sz w:val="32"/>
          <w:szCs w:val="32"/>
        </w:rPr>
        <w:t>%。其中，铁路周转量812.8亿吨公里，与上年基本持平；公路周转量3114.9亿吨公里，增长4.2%</w:t>
      </w:r>
      <w:r>
        <w:rPr>
          <w:rFonts w:hint="eastAsia" w:ascii="仿宋_GB2312" w:eastAsia="仿宋_GB2312" w:hAnsiTheme="minorEastAsia"/>
          <w:sz w:val="32"/>
          <w:szCs w:val="32"/>
        </w:rPr>
        <w:t>。</w:t>
      </w:r>
    </w:p>
    <w:p>
      <w:pPr>
        <w:spacing w:line="360" w:lineRule="auto"/>
        <w:jc w:val="center"/>
        <w:rPr>
          <w:rFonts w:asciiTheme="minorEastAsia" w:hAnsiTheme="minorEastAsia"/>
          <w:b/>
          <w:sz w:val="24"/>
          <w:szCs w:val="24"/>
        </w:rPr>
      </w:pPr>
      <w:r>
        <w:rPr>
          <w:rFonts w:hint="eastAsia" w:asciiTheme="minorEastAsia" w:hAnsiTheme="minorEastAsia"/>
          <w:b/>
          <w:sz w:val="24"/>
          <w:szCs w:val="24"/>
        </w:rPr>
        <w:t xml:space="preserve">表2-1  2014-2018年湖南省各运输方式货运量  </w:t>
      </w:r>
    </w:p>
    <w:p>
      <w:pPr>
        <w:spacing w:line="360" w:lineRule="auto"/>
        <w:jc w:val="right"/>
        <w:rPr>
          <w:rFonts w:asciiTheme="minorEastAsia" w:hAnsiTheme="minorEastAsia"/>
          <w:b/>
          <w:sz w:val="24"/>
          <w:szCs w:val="24"/>
        </w:rPr>
      </w:pPr>
      <w:r>
        <w:rPr>
          <w:rFonts w:hint="eastAsia" w:asciiTheme="minorEastAsia" w:hAnsiTheme="minorEastAsia"/>
          <w:b/>
          <w:sz w:val="24"/>
          <w:szCs w:val="24"/>
        </w:rPr>
        <w:t>单位：万吨</w:t>
      </w:r>
    </w:p>
    <w:tbl>
      <w:tblPr>
        <w:tblStyle w:val="16"/>
        <w:tblW w:w="8296" w:type="dxa"/>
        <w:jc w:val="center"/>
        <w:tblInd w:w="0" w:type="dxa"/>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1384"/>
        <w:gridCol w:w="1382"/>
        <w:gridCol w:w="1382"/>
        <w:gridCol w:w="1382"/>
        <w:gridCol w:w="1382"/>
      </w:tblGrid>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货运量</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2014</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2016</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2017</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2018</w:t>
            </w:r>
          </w:p>
        </w:tc>
      </w:tr>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202800</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214130</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207364</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226522</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231110</w:t>
            </w:r>
          </w:p>
        </w:tc>
      </w:tr>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铁路</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4495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4184</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3925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4185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4468</w:t>
            </w:r>
          </w:p>
        </w:tc>
      </w:tr>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公路</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172613</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184831</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178968</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198806</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204389</w:t>
            </w:r>
          </w:p>
        </w:tc>
      </w:tr>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水路</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25687</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25109</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23445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22560</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21101</w:t>
            </w:r>
          </w:p>
        </w:tc>
      </w:tr>
      <w:tr>
        <w:tblPrEx>
          <w:tblBorders>
            <w:top w:val="thinThickSmallGap" w:color="auto" w:sz="18" w:space="0"/>
            <w:left w:val="none" w:color="auto" w:sz="0" w:space="0"/>
            <w:bottom w:val="thinThick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民航</w:t>
            </w:r>
          </w:p>
        </w:tc>
        <w:tc>
          <w:tcPr>
            <w:tcW w:w="1384"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6.25</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6.08</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6.41</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6.96</w:t>
            </w:r>
          </w:p>
        </w:tc>
        <w:tc>
          <w:tcPr>
            <w:tcW w:w="1382"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8.01</w:t>
            </w:r>
          </w:p>
        </w:tc>
      </w:tr>
    </w:tbl>
    <w:p>
      <w:pPr>
        <w:spacing w:line="360" w:lineRule="auto"/>
        <w:jc w:val="center"/>
        <w:rPr>
          <w:rFonts w:asciiTheme="minorEastAsia" w:hAnsiTheme="minorEastAsia"/>
          <w:b/>
          <w:sz w:val="24"/>
          <w:szCs w:val="24"/>
        </w:rPr>
      </w:pPr>
    </w:p>
    <w:p>
      <w:pPr>
        <w:spacing w:line="360" w:lineRule="auto"/>
        <w:jc w:val="center"/>
        <w:rPr>
          <w:rFonts w:asciiTheme="minorEastAsia" w:hAnsiTheme="minorEastAsia"/>
          <w:b/>
          <w:sz w:val="24"/>
          <w:szCs w:val="24"/>
        </w:rPr>
      </w:pPr>
      <w:r>
        <w:rPr>
          <w:rFonts w:hint="eastAsia" w:asciiTheme="minorEastAsia" w:hAnsiTheme="minorEastAsia"/>
          <w:b/>
          <w:sz w:val="24"/>
          <w:szCs w:val="24"/>
        </w:rPr>
        <w:t>表2-2  2014-2018年湖南省各运输方式货运周转量</w:t>
      </w:r>
    </w:p>
    <w:p>
      <w:pPr>
        <w:spacing w:line="360" w:lineRule="auto"/>
        <w:jc w:val="right"/>
        <w:rPr>
          <w:rFonts w:cs="Times New Roman" w:asciiTheme="minorEastAsia" w:hAnsiTheme="minorEastAsia"/>
          <w:sz w:val="28"/>
          <w:szCs w:val="24"/>
        </w:rPr>
      </w:pPr>
      <w:r>
        <w:rPr>
          <w:rFonts w:hint="eastAsia" w:asciiTheme="minorEastAsia" w:hAnsiTheme="minorEastAsia"/>
          <w:b/>
          <w:sz w:val="24"/>
          <w:szCs w:val="24"/>
        </w:rPr>
        <w:t>单位：亿吨公里</w:t>
      </w:r>
    </w:p>
    <w:tbl>
      <w:tblPr>
        <w:tblStyle w:val="16"/>
        <w:tblW w:w="8296" w:type="dxa"/>
        <w:jc w:val="center"/>
        <w:tblInd w:w="0" w:type="dxa"/>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60"/>
        <w:gridCol w:w="1395"/>
        <w:gridCol w:w="1395"/>
        <w:gridCol w:w="1395"/>
        <w:gridCol w:w="1395"/>
        <w:gridCol w:w="1356"/>
      </w:tblGrid>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货运周转量</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2014</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2015</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2016</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2017</w:t>
            </w:r>
          </w:p>
        </w:tc>
        <w:tc>
          <w:tcPr>
            <w:tcW w:w="1356"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2018</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合计</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4122.58</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4149.45</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4043.25</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4316.43</w:t>
            </w:r>
          </w:p>
        </w:tc>
        <w:tc>
          <w:tcPr>
            <w:tcW w:w="1356" w:type="dxa"/>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5448.6</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铁路</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832.92</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749.95</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721.37</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813.13</w:t>
            </w:r>
          </w:p>
        </w:tc>
        <w:tc>
          <w:tcPr>
            <w:tcW w:w="1356" w:type="dxa"/>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812.8</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公路</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2578.9</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2731.8</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2686.57</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2990.55</w:t>
            </w:r>
          </w:p>
        </w:tc>
        <w:tc>
          <w:tcPr>
            <w:tcW w:w="1356" w:type="dxa"/>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3114.9</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水路</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709.94</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666.83</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619.47</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497.07</w:t>
            </w:r>
          </w:p>
        </w:tc>
        <w:tc>
          <w:tcPr>
            <w:tcW w:w="1356" w:type="dxa"/>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w:t>
            </w:r>
          </w:p>
        </w:tc>
      </w:tr>
      <w:tr>
        <w:tblPrEx>
          <w:tblBorders>
            <w:top w:val="thinThickSmallGap" w:color="auto" w:sz="18" w:space="0"/>
            <w:left w:val="none" w:color="auto" w:sz="0" w:space="0"/>
            <w:bottom w:val="thickThinSmallGap" w:color="auto" w:sz="1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jc w:val="center"/>
        </w:trPr>
        <w:tc>
          <w:tcPr>
            <w:tcW w:w="1360"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民航</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0.82</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0.87</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0.94</w:t>
            </w:r>
          </w:p>
        </w:tc>
        <w:tc>
          <w:tcPr>
            <w:tcW w:w="1395"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1.05</w:t>
            </w:r>
          </w:p>
        </w:tc>
        <w:tc>
          <w:tcPr>
            <w:tcW w:w="1356" w:type="dxa"/>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p>
        </w:tc>
      </w:tr>
    </w:tbl>
    <w:p>
      <w:pPr>
        <w:pStyle w:val="3"/>
        <w:rPr>
          <w:rFonts w:ascii="楷体" w:hAnsi="楷体" w:eastAsia="楷体"/>
        </w:rPr>
      </w:pPr>
      <w:bookmarkStart w:id="29" w:name="_Toc7299996"/>
      <w:bookmarkStart w:id="30" w:name="_Toc7300062"/>
      <w:r>
        <w:rPr>
          <w:rFonts w:hint="eastAsia" w:ascii="楷体" w:hAnsi="楷体" w:eastAsia="楷体"/>
        </w:rPr>
        <w:t>2.2物流基础设施</w:t>
      </w:r>
      <w:bookmarkEnd w:id="27"/>
      <w:r>
        <w:rPr>
          <w:rFonts w:hint="eastAsia" w:ascii="楷体" w:hAnsi="楷体" w:eastAsia="楷体"/>
        </w:rPr>
        <w:t>建设</w:t>
      </w:r>
      <w:r>
        <w:rPr>
          <w:rFonts w:ascii="楷体" w:hAnsi="楷体" w:eastAsia="楷体"/>
        </w:rPr>
        <w:t>情况</w:t>
      </w:r>
      <w:bookmarkEnd w:id="29"/>
      <w:bookmarkEnd w:id="30"/>
    </w:p>
    <w:p>
      <w:pPr>
        <w:pStyle w:val="4"/>
        <w:rPr>
          <w:rFonts w:ascii="仿宋_GB2312" w:eastAsia="仿宋_GB2312" w:cs="Times New Roman" w:hAnsiTheme="minorEastAsia"/>
          <w:bCs w:val="0"/>
        </w:rPr>
      </w:pPr>
      <w:bookmarkStart w:id="31" w:name="_Toc7299997"/>
      <w:bookmarkStart w:id="32" w:name="_Toc6551635"/>
      <w:r>
        <w:rPr>
          <w:rFonts w:hint="eastAsia" w:ascii="仿宋_GB2312" w:eastAsia="仿宋_GB2312" w:cs="Times New Roman" w:hAnsiTheme="minorEastAsia"/>
          <w:bCs w:val="0"/>
        </w:rPr>
        <w:t>2</w:t>
      </w:r>
      <w:r>
        <w:rPr>
          <w:rFonts w:ascii="仿宋_GB2312" w:eastAsia="仿宋_GB2312" w:cs="Times New Roman" w:hAnsiTheme="minorEastAsia"/>
          <w:bCs w:val="0"/>
        </w:rPr>
        <w:t>.2.1</w:t>
      </w:r>
      <w:r>
        <w:rPr>
          <w:rFonts w:hint="eastAsia" w:ascii="仿宋_GB2312" w:eastAsia="仿宋_GB2312" w:cs="Times New Roman" w:hAnsiTheme="minorEastAsia"/>
          <w:bCs w:val="0"/>
        </w:rPr>
        <w:t>交通基础设施现状</w:t>
      </w:r>
      <w:bookmarkEnd w:id="31"/>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——公路</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至2018年底，湖南全省</w:t>
      </w:r>
      <w:r>
        <w:rPr>
          <w:rFonts w:ascii="仿宋_GB2312" w:eastAsia="仿宋_GB2312" w:hAnsiTheme="minorEastAsia"/>
          <w:sz w:val="32"/>
          <w:szCs w:val="32"/>
        </w:rPr>
        <w:t>公路通车里程</w:t>
      </w:r>
      <w:r>
        <w:rPr>
          <w:rFonts w:hint="eastAsia" w:ascii="仿宋_GB2312" w:eastAsia="仿宋_GB2312" w:hAnsiTheme="minorEastAsia"/>
          <w:sz w:val="32"/>
          <w:szCs w:val="32"/>
        </w:rPr>
        <w:t>为</w:t>
      </w:r>
      <w:r>
        <w:rPr>
          <w:rFonts w:ascii="仿宋_GB2312" w:eastAsia="仿宋_GB2312" w:hAnsiTheme="minorEastAsia"/>
          <w:sz w:val="32"/>
          <w:szCs w:val="32"/>
        </w:rPr>
        <w:t>24.0万公里，比</w:t>
      </w:r>
      <w:r>
        <w:rPr>
          <w:rFonts w:hint="eastAsia" w:ascii="仿宋_GB2312" w:eastAsia="仿宋_GB2312" w:hAnsiTheme="minorEastAsia"/>
          <w:sz w:val="32"/>
          <w:szCs w:val="32"/>
        </w:rPr>
        <w:t>2017</w:t>
      </w:r>
      <w:r>
        <w:rPr>
          <w:rFonts w:ascii="仿宋_GB2312" w:eastAsia="仿宋_GB2312" w:hAnsiTheme="minorEastAsia"/>
          <w:sz w:val="32"/>
          <w:szCs w:val="32"/>
        </w:rPr>
        <w:t>年末增长0.1%</w:t>
      </w:r>
      <w:r>
        <w:rPr>
          <w:rFonts w:hint="eastAsia" w:ascii="仿宋_GB2312" w:eastAsia="仿宋_GB2312" w:hAnsiTheme="minorEastAsia"/>
          <w:sz w:val="32"/>
          <w:szCs w:val="32"/>
        </w:rPr>
        <w:t>，</w:t>
      </w:r>
      <w:r>
        <w:rPr>
          <w:rFonts w:ascii="仿宋_GB2312" w:eastAsia="仿宋_GB2312" w:hAnsiTheme="minorEastAsia"/>
          <w:sz w:val="32"/>
          <w:szCs w:val="32"/>
        </w:rPr>
        <w:t>其中，高速公路通车里程6724.6公里，比</w:t>
      </w:r>
      <w:r>
        <w:rPr>
          <w:rFonts w:hint="eastAsia" w:ascii="仿宋_GB2312" w:eastAsia="仿宋_GB2312" w:hAnsiTheme="minorEastAsia"/>
          <w:sz w:val="32"/>
          <w:szCs w:val="32"/>
        </w:rPr>
        <w:t>2017</w:t>
      </w:r>
      <w:r>
        <w:rPr>
          <w:rFonts w:ascii="仿宋_GB2312" w:eastAsia="仿宋_GB2312" w:hAnsiTheme="minorEastAsia"/>
          <w:sz w:val="32"/>
          <w:szCs w:val="32"/>
        </w:rPr>
        <w:t>年末增加306.1公里</w:t>
      </w:r>
      <w:r>
        <w:rPr>
          <w:rFonts w:hint="eastAsia" w:ascii="仿宋_GB2312" w:eastAsia="仿宋_GB2312" w:hAnsiTheme="minorEastAsia"/>
          <w:sz w:val="32"/>
          <w:szCs w:val="32"/>
        </w:rPr>
        <w:t>；</w:t>
      </w:r>
      <w:r>
        <w:rPr>
          <w:rFonts w:ascii="仿宋_GB2312" w:eastAsia="仿宋_GB2312" w:hAnsiTheme="minorEastAsia"/>
          <w:sz w:val="32"/>
          <w:szCs w:val="32"/>
        </w:rPr>
        <w:t>农村公路总里程达20.2万公里，100%县（市、区）通二级及以上公路</w:t>
      </w:r>
      <w:r>
        <w:rPr>
          <w:rFonts w:hint="eastAsia" w:ascii="仿宋_GB2312" w:eastAsia="仿宋_GB2312" w:hAnsiTheme="minorEastAsia"/>
          <w:sz w:val="32"/>
          <w:szCs w:val="32"/>
        </w:rPr>
        <w:t>，</w:t>
      </w:r>
      <w:r>
        <w:rPr>
          <w:rFonts w:ascii="仿宋_GB2312" w:eastAsia="仿宋_GB2312" w:hAnsiTheme="minorEastAsia"/>
          <w:sz w:val="32"/>
          <w:szCs w:val="32"/>
        </w:rPr>
        <w:t>100%的乡镇和具备条件的建制村通水泥（沥青）路。</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——铁路</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至2018年底，湖南省</w:t>
      </w:r>
      <w:r>
        <w:rPr>
          <w:rFonts w:ascii="仿宋_GB2312" w:eastAsia="仿宋_GB2312" w:hAnsiTheme="minorEastAsia"/>
          <w:sz w:val="32"/>
          <w:szCs w:val="32"/>
        </w:rPr>
        <w:t>铁路营业里程</w:t>
      </w:r>
      <w:r>
        <w:rPr>
          <w:rFonts w:hint="eastAsia" w:ascii="仿宋_GB2312" w:eastAsia="仿宋_GB2312" w:hAnsiTheme="minorEastAsia"/>
          <w:sz w:val="32"/>
          <w:szCs w:val="32"/>
        </w:rPr>
        <w:t>达到</w:t>
      </w:r>
      <w:r>
        <w:rPr>
          <w:rFonts w:ascii="仿宋_GB2312" w:eastAsia="仿宋_GB2312" w:hAnsiTheme="minorEastAsia"/>
          <w:sz w:val="32"/>
          <w:szCs w:val="32"/>
        </w:rPr>
        <w:t>5021.0公里，其中高速铁路1729.6公里。</w:t>
      </w:r>
      <w:r>
        <w:rPr>
          <w:rFonts w:hint="eastAsia" w:ascii="仿宋_GB2312" w:eastAsia="仿宋_GB2312" w:hAnsiTheme="minorEastAsia"/>
          <w:sz w:val="32"/>
          <w:szCs w:val="32"/>
        </w:rPr>
        <w:t>预计</w:t>
      </w:r>
      <w:r>
        <w:rPr>
          <w:rFonts w:ascii="仿宋_GB2312" w:eastAsia="仿宋_GB2312" w:hAnsiTheme="minorEastAsia"/>
          <w:sz w:val="32"/>
          <w:szCs w:val="32"/>
        </w:rPr>
        <w:t>到2023年底，湖南铁路营运里程</w:t>
      </w:r>
      <w:r>
        <w:rPr>
          <w:rFonts w:hint="eastAsia" w:ascii="仿宋_GB2312" w:eastAsia="仿宋_GB2312" w:hAnsiTheme="minorEastAsia"/>
          <w:sz w:val="32"/>
          <w:szCs w:val="32"/>
        </w:rPr>
        <w:t>将</w:t>
      </w:r>
      <w:r>
        <w:rPr>
          <w:rFonts w:ascii="仿宋_GB2312" w:eastAsia="仿宋_GB2312" w:hAnsiTheme="minorEastAsia"/>
          <w:sz w:val="32"/>
          <w:szCs w:val="32"/>
        </w:rPr>
        <w:t>达到6800公里左右，“五纵五横”的干线网、以长沙为中心的“一环八射”快速网全面成型；铁路资产规模达到1077亿元左右，自营板块资产规模超过100亿元，年营业收入约40亿元，利润总额约4亿元，资产负债率控制在65%以下，经济效益明显提升。</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——水路</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至2018年底，湖南省</w:t>
      </w:r>
      <w:r>
        <w:rPr>
          <w:rFonts w:ascii="仿宋_GB2312" w:eastAsia="仿宋_GB2312" w:hAnsiTheme="minorEastAsia"/>
          <w:sz w:val="32"/>
          <w:szCs w:val="32"/>
        </w:rPr>
        <w:t>内河水运通航里程达</w:t>
      </w:r>
      <w:r>
        <w:rPr>
          <w:rFonts w:hint="eastAsia" w:ascii="仿宋_GB2312" w:eastAsia="仿宋_GB2312" w:hAnsiTheme="minorEastAsia"/>
          <w:sz w:val="32"/>
          <w:szCs w:val="32"/>
        </w:rPr>
        <w:t>到</w:t>
      </w:r>
      <w:r>
        <w:rPr>
          <w:rFonts w:ascii="仿宋_GB2312" w:eastAsia="仿宋_GB2312" w:hAnsiTheme="minorEastAsia"/>
          <w:sz w:val="32"/>
          <w:szCs w:val="32"/>
        </w:rPr>
        <w:t>11968公里，位居全国第3，千吨级航道达940公里，千吨级泊位达116个。</w:t>
      </w:r>
      <w:r>
        <w:rPr>
          <w:rFonts w:hint="eastAsia" w:ascii="仿宋_GB2312" w:eastAsia="仿宋_GB2312" w:hAnsiTheme="minorEastAsia"/>
          <w:sz w:val="32"/>
          <w:szCs w:val="32"/>
        </w:rPr>
        <w:t>港口主要有</w:t>
      </w:r>
      <w:r>
        <w:rPr>
          <w:rFonts w:ascii="仿宋_GB2312" w:eastAsia="仿宋_GB2312" w:hAnsiTheme="minorEastAsia"/>
          <w:sz w:val="32"/>
          <w:szCs w:val="32"/>
        </w:rPr>
        <w:t>长沙港</w:t>
      </w:r>
      <w:r>
        <w:rPr>
          <w:rFonts w:hint="eastAsia" w:ascii="仿宋_GB2312" w:eastAsia="仿宋_GB2312" w:hAnsiTheme="minorEastAsia"/>
          <w:sz w:val="32"/>
          <w:szCs w:val="32"/>
        </w:rPr>
        <w:t>、</w:t>
      </w:r>
      <w:r>
        <w:rPr>
          <w:rFonts w:ascii="仿宋_GB2312" w:eastAsia="仿宋_GB2312" w:hAnsiTheme="minorEastAsia"/>
          <w:sz w:val="32"/>
          <w:szCs w:val="32"/>
        </w:rPr>
        <w:t>衡阳港</w:t>
      </w:r>
      <w:r>
        <w:rPr>
          <w:rFonts w:hint="eastAsia" w:ascii="仿宋_GB2312" w:eastAsia="仿宋_GB2312" w:hAnsiTheme="minorEastAsia"/>
          <w:sz w:val="32"/>
          <w:szCs w:val="32"/>
        </w:rPr>
        <w:t>、</w:t>
      </w:r>
      <w:r>
        <w:rPr>
          <w:rFonts w:ascii="仿宋_GB2312" w:eastAsia="仿宋_GB2312" w:hAnsiTheme="minorEastAsia"/>
          <w:sz w:val="32"/>
          <w:szCs w:val="32"/>
        </w:rPr>
        <w:t>湘潭港</w:t>
      </w:r>
      <w:r>
        <w:rPr>
          <w:rFonts w:hint="eastAsia" w:ascii="仿宋_GB2312" w:eastAsia="仿宋_GB2312" w:hAnsiTheme="minorEastAsia"/>
          <w:sz w:val="32"/>
          <w:szCs w:val="32"/>
        </w:rPr>
        <w:t>、</w:t>
      </w:r>
      <w:r>
        <w:rPr>
          <w:rFonts w:ascii="仿宋_GB2312" w:eastAsia="仿宋_GB2312" w:hAnsiTheme="minorEastAsia"/>
          <w:sz w:val="32"/>
          <w:szCs w:val="32"/>
        </w:rPr>
        <w:t>益阳港</w:t>
      </w:r>
      <w:r>
        <w:rPr>
          <w:rFonts w:hint="eastAsia" w:ascii="仿宋_GB2312" w:eastAsia="仿宋_GB2312" w:hAnsiTheme="minorEastAsia"/>
          <w:sz w:val="32"/>
          <w:szCs w:val="32"/>
        </w:rPr>
        <w:t>、</w:t>
      </w:r>
      <w:r>
        <w:rPr>
          <w:rFonts w:ascii="仿宋_GB2312" w:eastAsia="仿宋_GB2312" w:hAnsiTheme="minorEastAsia"/>
          <w:sz w:val="32"/>
          <w:szCs w:val="32"/>
        </w:rPr>
        <w:t>常德港</w:t>
      </w:r>
      <w:r>
        <w:rPr>
          <w:rFonts w:hint="eastAsia" w:ascii="仿宋_GB2312" w:eastAsia="仿宋_GB2312" w:hAnsiTheme="minorEastAsia"/>
          <w:sz w:val="32"/>
          <w:szCs w:val="32"/>
        </w:rPr>
        <w:t>、</w:t>
      </w:r>
      <w:r>
        <w:rPr>
          <w:rFonts w:ascii="仿宋_GB2312" w:eastAsia="仿宋_GB2312" w:hAnsiTheme="minorEastAsia"/>
          <w:sz w:val="32"/>
          <w:szCs w:val="32"/>
        </w:rPr>
        <w:t>株洲港</w:t>
      </w:r>
      <w:r>
        <w:rPr>
          <w:rFonts w:hint="eastAsia" w:ascii="仿宋_GB2312" w:eastAsia="仿宋_GB2312" w:hAnsiTheme="minorEastAsia"/>
          <w:sz w:val="32"/>
          <w:szCs w:val="32"/>
        </w:rPr>
        <w:t>、</w:t>
      </w:r>
      <w:r>
        <w:rPr>
          <w:rFonts w:ascii="仿宋_GB2312" w:eastAsia="仿宋_GB2312" w:hAnsiTheme="minorEastAsia"/>
          <w:sz w:val="32"/>
          <w:szCs w:val="32"/>
        </w:rPr>
        <w:t>岳阳港</w:t>
      </w:r>
      <w:r>
        <w:rPr>
          <w:rFonts w:hint="eastAsia" w:ascii="仿宋_GB2312" w:eastAsia="仿宋_GB2312" w:hAnsiTheme="minorEastAsia"/>
          <w:sz w:val="32"/>
          <w:szCs w:val="32"/>
        </w:rPr>
        <w:t>等七大港口。</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——民航</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目前，湖南已经形成了“一干五支”的运输机场格局，其中，长沙黄花国际机场定位为是中部地区规模最大的区域性国际枢纽机场、湖南省航空货物与快件集散中心；张家界荷花国际机场定位为重点旅游机场；常德桃花源、怀化芷江、永州零陵、衡阳南岳机场定位为支线小型机场。到2020年，将建成“一枢纽九支线”的运输机场体系，运输机场80公里服务覆盖全省80%以上的区域。</w:t>
      </w:r>
    </w:p>
    <w:p>
      <w:pPr>
        <w:pStyle w:val="4"/>
        <w:rPr>
          <w:rFonts w:ascii="仿宋_GB2312" w:eastAsia="仿宋_GB2312" w:hAnsiTheme="minorEastAsia"/>
          <w:b w:val="0"/>
        </w:rPr>
      </w:pPr>
      <w:bookmarkStart w:id="33" w:name="_Toc7299998"/>
      <w:r>
        <w:rPr>
          <w:rFonts w:hint="eastAsia" w:ascii="仿宋_GB2312" w:eastAsia="仿宋_GB2312" w:cs="Times New Roman" w:hAnsiTheme="minorEastAsia"/>
          <w:bCs w:val="0"/>
        </w:rPr>
        <w:t>2</w:t>
      </w:r>
      <w:r>
        <w:rPr>
          <w:rFonts w:ascii="仿宋_GB2312" w:eastAsia="仿宋_GB2312" w:cs="Times New Roman" w:hAnsiTheme="minorEastAsia"/>
          <w:bCs w:val="0"/>
        </w:rPr>
        <w:t>.2.2</w:t>
      </w:r>
      <w:r>
        <w:rPr>
          <w:rFonts w:hint="eastAsia" w:ascii="仿宋_GB2312" w:eastAsia="仿宋_GB2312" w:cs="Times New Roman" w:hAnsiTheme="minorEastAsia"/>
          <w:bCs w:val="0"/>
        </w:rPr>
        <w:t>区域交通基础设施发展重点</w:t>
      </w:r>
      <w:bookmarkEnd w:id="33"/>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根据2016年10月湖南省人民政府出台的</w:t>
      </w:r>
      <w:r>
        <w:rPr>
          <w:rFonts w:ascii="仿宋_GB2312" w:eastAsia="仿宋_GB2312" w:hAnsiTheme="minorEastAsia"/>
          <w:sz w:val="32"/>
          <w:szCs w:val="32"/>
        </w:rPr>
        <w:t>《关于加快建设“一核三极”辐射联动“四带多点”增强区域发展新动能的实施意见》</w:t>
      </w:r>
      <w:r>
        <w:rPr>
          <w:rFonts w:hint="eastAsia" w:ascii="仿宋_GB2312" w:eastAsia="仿宋_GB2312" w:hAnsiTheme="minorEastAsia"/>
          <w:sz w:val="32"/>
          <w:szCs w:val="32"/>
        </w:rPr>
        <w:t>，未来湖南省将</w:t>
      </w:r>
      <w:r>
        <w:rPr>
          <w:rFonts w:ascii="仿宋_GB2312" w:eastAsia="仿宋_GB2312" w:hAnsiTheme="minorEastAsia"/>
          <w:sz w:val="32"/>
          <w:szCs w:val="32"/>
        </w:rPr>
        <w:t>按照网格化布局、智能化管理、一体化服务、绿色化发展的要求，抓住关键通道、关键节点，补强基础设施短板，提高承载能力。</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长株潭</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重点抓好渝长厦铁路长益常段、长沙至赣州段等重大项目，形成全省对角连通的高速铁路通道。加强三市核心区城际干道网、城际绿道网、高速公路网和轨道交通环线等建设，推动长株潭沿江风光带无缝对接。实施长沙至益阳扩容、醴陵至娄底扩容等高速公路重点工程。打造长沙区域性国际航空枢纽，建设株洲通用航空机场和长株潭组合港。</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岳阳市</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突出城陵矶新港建设，完善港口基础设施和集疏运体系；推进长江湖南段航道疏浚治理，力争航道等级提升至</w:t>
      </w:r>
      <w:r>
        <w:rPr>
          <w:rFonts w:hint="eastAsia" w:ascii="仿宋_GB2312" w:eastAsia="仿宋_GB2312" w:hAnsiTheme="minorEastAsia"/>
          <w:sz w:val="32"/>
          <w:szCs w:val="32"/>
        </w:rPr>
        <w:t>Ⅰ</w:t>
      </w:r>
      <w:r>
        <w:rPr>
          <w:rFonts w:ascii="仿宋_GB2312" w:eastAsia="仿宋_GB2312" w:hAnsiTheme="minorEastAsia"/>
          <w:sz w:val="32"/>
          <w:szCs w:val="32"/>
        </w:rPr>
        <w:t>级，常年维护水深4.5米以上。推进蒙华铁路建设，尽快启动常岳九铁路，构建沿长江铁路运输通道。积极推动松阳湖铁路支线、岳阳东客运枢纽站、沿江高等级公路建设。加快岳阳机场建设，打造区域航空货运基地。</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郴州市</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推进兴永郴赣铁路建设，构建湘南地区东西向铁路通道。抓好厦蓉高速、炎汝高速等高速公路建设。做好郴州北湖机场、飞天山通用机场、临连高速等项目前期工作，以及桂新高速等项目的规划研究。</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怀化市</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加快渝怀复线、怀邵衡铁路、张吉怀铁路建设，推进安张衡等铁路建设。抓好武冈至靖州、怀化至芷江、靖州至黎平、沅陵至辰溪、张家界至新化等高速公路建设，做好溆浦至洞口、安化至溆浦等高速公路规划研究。实施怀化芷江机场改扩建工程。推动沅水金紫至洪江、洪江至辰溪、舞水黔城至怀化500吨级航道整治工程和配套码头港口，以及沅水鱼潭航电枢纽工程建设。</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——衡阳市</w:t>
      </w:r>
    </w:p>
    <w:p>
      <w:pPr>
        <w:widowControl/>
        <w:spacing w:line="360" w:lineRule="auto"/>
        <w:ind w:firstLine="640" w:firstLineChars="200"/>
        <w:rPr>
          <w:rFonts w:ascii="仿宋_GB2312" w:eastAsia="仿宋_GB2312" w:hAnsiTheme="minorEastAsia"/>
          <w:b/>
          <w:color w:val="FF0000"/>
          <w:sz w:val="32"/>
          <w:szCs w:val="32"/>
          <w:u w:val="single"/>
        </w:rPr>
      </w:pPr>
      <w:r>
        <w:rPr>
          <w:rFonts w:hint="eastAsia" w:ascii="仿宋_GB2312" w:eastAsia="仿宋_GB2312" w:cs="Times New Roman" w:hAnsiTheme="minorEastAsia"/>
          <w:sz w:val="32"/>
          <w:szCs w:val="32"/>
        </w:rPr>
        <w:t>加快</w:t>
      </w:r>
      <w:r>
        <w:rPr>
          <w:rFonts w:ascii="仿宋_GB2312" w:eastAsia="仿宋_GB2312" w:cs="Times New Roman" w:hAnsiTheme="minorEastAsia"/>
          <w:sz w:val="32"/>
          <w:szCs w:val="32"/>
        </w:rPr>
        <w:t>建成怀邵衡铁路，实施湘桂铁路衡阳至柳州段电气化改造，推进安张衡铁路、株洲-衡阳-耒阳城际铁路和娄衡城际铁路前期工作</w:t>
      </w:r>
      <w:r>
        <w:rPr>
          <w:rFonts w:hint="eastAsia" w:ascii="仿宋_GB2312" w:eastAsia="仿宋_GB2312" w:cs="Times New Roman" w:hAnsiTheme="minorEastAsia"/>
          <w:sz w:val="32"/>
          <w:szCs w:val="32"/>
        </w:rPr>
        <w:t>。</w:t>
      </w:r>
      <w:r>
        <w:rPr>
          <w:rFonts w:ascii="仿宋_GB2312" w:eastAsia="仿宋_GB2312" w:hAnsiTheme="minorEastAsia"/>
          <w:sz w:val="32"/>
          <w:szCs w:val="32"/>
        </w:rPr>
        <w:t>抓好</w:t>
      </w:r>
      <w:r>
        <w:rPr>
          <w:rFonts w:ascii="仿宋_GB2312" w:eastAsia="仿宋_GB2312" w:cs="Times New Roman" w:hAnsiTheme="minorEastAsia"/>
          <w:sz w:val="32"/>
          <w:szCs w:val="32"/>
        </w:rPr>
        <w:t>娄衡高速、南岳高速东延线</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衡阳至永州高速公路、茶陵至常宁高速公路、南岳至白果高速公路</w:t>
      </w:r>
      <w:r>
        <w:rPr>
          <w:rFonts w:hint="eastAsia" w:ascii="仿宋_GB2312" w:eastAsia="仿宋_GB2312" w:cs="Times New Roman" w:hAnsiTheme="minorEastAsia"/>
          <w:sz w:val="32"/>
          <w:szCs w:val="32"/>
        </w:rPr>
        <w:t>建设。实施</w:t>
      </w:r>
      <w:r>
        <w:rPr>
          <w:rFonts w:ascii="仿宋_GB2312" w:eastAsia="仿宋_GB2312" w:cs="Times New Roman" w:hAnsiTheme="minorEastAsia"/>
          <w:sz w:val="32"/>
          <w:szCs w:val="32"/>
        </w:rPr>
        <w:t>松木港、耒阳港，新建常宁柏坊和松柏、衡东大浦、衡南云集、祁东归阳5个千吨级码头建设，改造扩建衡山港成为千吨级码头。建成湘江土谷塘航电枢纽工程，实施湘江2000吨级航道二期工程（株洲航电枢纽-衡阳蒸水河口）、湘江1000吨级航道建设工程（衡阳蒸水河口-永州萍岛）推进湘江2000吨级航道建设二期工程，加快祁东归阳、衡东大浦千吨级码头建设。迁建衡阳通用机场，建设耒阳通用机场。</w:t>
      </w:r>
    </w:p>
    <w:p>
      <w:pPr>
        <w:pStyle w:val="6"/>
        <w:adjustRightInd w:val="0"/>
        <w:snapToGrid w:val="0"/>
        <w:ind w:firstLine="0" w:firstLineChars="0"/>
        <w:jc w:val="center"/>
        <w:rPr>
          <w:rFonts w:ascii="仿宋_GB2312" w:eastAsia="仿宋_GB2312" w:hAnsiTheme="minorEastAsia"/>
          <w:sz w:val="32"/>
          <w:szCs w:val="32"/>
        </w:rPr>
      </w:pPr>
      <w:r>
        <w:rPr>
          <w:rFonts w:ascii="仿宋_GB2312" w:eastAsia="仿宋_GB2312" w:hAnsiTheme="minorEastAsia"/>
          <w:sz w:val="32"/>
          <w:szCs w:val="32"/>
        </w:rPr>
        <w:drawing>
          <wp:inline distT="0" distB="0" distL="0" distR="0">
            <wp:extent cx="5172075" cy="6657975"/>
            <wp:effectExtent l="0" t="0" r="9525" b="9525"/>
            <wp:docPr id="3" name="图片 3" descr="3783e617d22d49c1b02127901473f2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783e617d22d49c1b02127901473f20d"/>
                    <pic:cNvPicPr>
                      <a:picLocks noChangeAspect="1" noChangeArrowheads="1"/>
                    </pic:cNvPicPr>
                  </pic:nvPicPr>
                  <pic:blipFill>
                    <a:blip r:embed="rId10">
                      <a:extLst>
                        <a:ext uri="{28A0092B-C50C-407E-A947-70E740481C1C}">
                          <a14:useLocalDpi xmlns:a14="http://schemas.microsoft.com/office/drawing/2010/main" val="0"/>
                        </a:ext>
                      </a:extLst>
                    </a:blip>
                    <a:srcRect l="3798" t="8064" r="3798" b="3494"/>
                    <a:stretch>
                      <a:fillRect/>
                    </a:stretch>
                  </pic:blipFill>
                  <pic:spPr>
                    <a:xfrm>
                      <a:off x="0" y="0"/>
                      <a:ext cx="5172075" cy="6657975"/>
                    </a:xfrm>
                    <a:prstGeom prst="rect">
                      <a:avLst/>
                    </a:prstGeom>
                    <a:noFill/>
                    <a:ln>
                      <a:noFill/>
                    </a:ln>
                  </pic:spPr>
                </pic:pic>
              </a:graphicData>
            </a:graphic>
          </wp:inline>
        </w:drawing>
      </w:r>
    </w:p>
    <w:p>
      <w:pPr>
        <w:spacing w:line="360" w:lineRule="auto"/>
        <w:jc w:val="center"/>
        <w:rPr>
          <w:rFonts w:asciiTheme="minorEastAsia" w:hAnsiTheme="minorEastAsia"/>
          <w:b/>
          <w:sz w:val="24"/>
          <w:szCs w:val="24"/>
        </w:rPr>
      </w:pPr>
      <w:r>
        <w:rPr>
          <w:rFonts w:hint="eastAsia" w:asciiTheme="minorEastAsia" w:hAnsiTheme="minorEastAsia"/>
          <w:b/>
          <w:sz w:val="24"/>
          <w:szCs w:val="24"/>
        </w:rPr>
        <w:t>图</w:t>
      </w:r>
      <w:r>
        <w:rPr>
          <w:rFonts w:asciiTheme="minorEastAsia" w:hAnsiTheme="minorEastAsia"/>
          <w:b/>
          <w:sz w:val="24"/>
          <w:szCs w:val="24"/>
        </w:rPr>
        <w:t>2-1</w:t>
      </w:r>
      <w:r>
        <w:rPr>
          <w:rFonts w:hint="eastAsia" w:asciiTheme="minorEastAsia" w:hAnsiTheme="minorEastAsia"/>
          <w:b/>
          <w:sz w:val="24"/>
          <w:szCs w:val="24"/>
        </w:rPr>
        <w:t xml:space="preserve">  湖南省综合交通</w:t>
      </w:r>
      <w:r>
        <w:rPr>
          <w:rFonts w:asciiTheme="minorEastAsia" w:hAnsiTheme="minorEastAsia"/>
          <w:b/>
          <w:sz w:val="24"/>
          <w:szCs w:val="24"/>
        </w:rPr>
        <w:t>规划图</w:t>
      </w:r>
    </w:p>
    <w:p>
      <w:pPr>
        <w:pStyle w:val="4"/>
        <w:rPr>
          <w:rFonts w:ascii="仿宋_GB2312" w:eastAsia="仿宋_GB2312" w:cs="Times New Roman" w:hAnsiTheme="minorEastAsia"/>
          <w:bCs w:val="0"/>
        </w:rPr>
      </w:pPr>
      <w:bookmarkStart w:id="34" w:name="_Toc7299999"/>
      <w:r>
        <w:rPr>
          <w:rFonts w:hint="eastAsia" w:ascii="仿宋_GB2312" w:eastAsia="仿宋_GB2312" w:cs="Times New Roman" w:hAnsiTheme="minorEastAsia"/>
          <w:bCs w:val="0"/>
        </w:rPr>
        <w:t>2</w:t>
      </w:r>
      <w:r>
        <w:rPr>
          <w:rFonts w:ascii="仿宋_GB2312" w:eastAsia="仿宋_GB2312" w:cs="Times New Roman" w:hAnsiTheme="minorEastAsia"/>
          <w:bCs w:val="0"/>
        </w:rPr>
        <w:t>.2.3</w:t>
      </w:r>
      <w:r>
        <w:rPr>
          <w:rFonts w:hint="eastAsia" w:ascii="仿宋_GB2312" w:eastAsia="仿宋_GB2312" w:cs="Times New Roman" w:hAnsiTheme="minorEastAsia"/>
          <w:bCs w:val="0"/>
        </w:rPr>
        <w:t>物流枢纽建设</w:t>
      </w:r>
      <w:r>
        <w:rPr>
          <w:rFonts w:ascii="仿宋_GB2312" w:eastAsia="仿宋_GB2312" w:cs="Times New Roman" w:hAnsiTheme="minorEastAsia"/>
          <w:bCs w:val="0"/>
        </w:rPr>
        <w:t>情况</w:t>
      </w:r>
      <w:bookmarkEnd w:id="34"/>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随着企业组织形态变革，资产重组、联盟合作、经营创新、产业集群、品牌建设等改革创新力度的加大，湖南省物流企业组织集中度、业务经营集约化、管理规范化水平明显提升。特别是企业组织结构长期存在的“多而不大，大而不强”的格局逐步发生变化，“品牌兴企”逐步成为企业的自觉行动。一批实力雄厚、模式先进、行业领先的企业正在成长。</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2018年，已有</w:t>
      </w:r>
      <w:r>
        <w:rPr>
          <w:rFonts w:ascii="仿宋_GB2312" w:eastAsia="仿宋_GB2312" w:hAnsiTheme="minorEastAsia"/>
          <w:sz w:val="32"/>
          <w:szCs w:val="32"/>
        </w:rPr>
        <w:t>长沙金霞</w:t>
      </w:r>
      <w:r>
        <w:rPr>
          <w:rFonts w:hint="eastAsia" w:ascii="仿宋_GB2312" w:eastAsia="仿宋_GB2312" w:hAnsiTheme="minorEastAsia"/>
          <w:sz w:val="32"/>
          <w:szCs w:val="32"/>
        </w:rPr>
        <w:t>现代物流园、郴州市湘南国际物流园2个国家级物流示范园区，湖南一力物流园、湘潭荷塘现代综合物流园、岳阳城陵矶物流园、怀化狮子岩物流园、常德德山物流园、衡阳白沙洲物流园等6个省级示范物流园。国家优秀物流园区10个（湖南金霞现代物流园、湘南国际物流园、湖南一力物流园、湖南中强物流园、湖南家电物流中心、湘潭荷塘现代综合物流园、衡阳铁路口岸综合物流园、衡阳市雁城物流园、湖南三湘和达现代物流园、怀化狮子岩物流园区）。岳阳获批国家现代物流创新发展试点城市。</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根据2018年11月湖南省交通运输厅和省发改委联合印发的《湖南省交通运输物流园区布局规划》，湖南全省共布局各级交通运输物流园区137个，其中，一级22个、二级70个、三级45个,基本覆盖了全省现状所有省级及以上产业园，一、二级园区覆盖了全省重要港区、铁路货站（场）、机场及口岸。</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规划到2030年，初步实现以交通枢纽为核心的物流产业集聚发展，全省90%以上的重要交通枢纽、80%以上的省级及以上产业基地均配套建设交通运输物流园区，基本形成分工有序、功能匹配、集约高效、绿色环保的多层级发展格局。交通运输对现代产业体系和新型城镇体系的支撑作用显著增强，为全省加快构建现代综合交通运输体系、建设富饶美丽幸福新湖南提供坚实保障。</w:t>
      </w:r>
    </w:p>
    <w:p>
      <w:pPr>
        <w:pStyle w:val="4"/>
        <w:rPr>
          <w:rFonts w:ascii="仿宋_GB2312" w:eastAsia="仿宋_GB2312" w:cs="Times New Roman" w:hAnsiTheme="minorEastAsia"/>
          <w:bCs w:val="0"/>
        </w:rPr>
      </w:pPr>
      <w:bookmarkStart w:id="35" w:name="_Toc7300000"/>
      <w:r>
        <w:rPr>
          <w:rFonts w:hint="eastAsia" w:ascii="仿宋_GB2312" w:eastAsia="仿宋_GB2312" w:cs="Times New Roman" w:hAnsiTheme="minorEastAsia"/>
          <w:bCs w:val="0"/>
        </w:rPr>
        <w:t>2</w:t>
      </w:r>
      <w:r>
        <w:rPr>
          <w:rFonts w:ascii="仿宋_GB2312" w:eastAsia="仿宋_GB2312" w:cs="Times New Roman" w:hAnsiTheme="minorEastAsia"/>
          <w:bCs w:val="0"/>
        </w:rPr>
        <w:t>.2.4</w:t>
      </w:r>
      <w:r>
        <w:rPr>
          <w:rFonts w:hint="eastAsia" w:ascii="仿宋_GB2312" w:eastAsia="仿宋_GB2312" w:cs="Times New Roman" w:hAnsiTheme="minorEastAsia"/>
          <w:bCs w:val="0"/>
        </w:rPr>
        <w:t>多式联运示范工程</w:t>
      </w:r>
      <w:r>
        <w:rPr>
          <w:rFonts w:ascii="仿宋_GB2312" w:eastAsia="仿宋_GB2312" w:cs="Times New Roman" w:hAnsiTheme="minorEastAsia"/>
          <w:bCs w:val="0"/>
        </w:rPr>
        <w:t>情况</w:t>
      </w:r>
      <w:bookmarkEnd w:id="35"/>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开展多式联运示范工程建设，是深化交通运输供给侧结构性改革、促进各种运输方式融合发展、推动物流业降本增效的有效载体，是挖掘资源要素潜能、激发市场主体活力、引领多式联运加快发展的重要依托。从2015年7月，交通运输部与国家发展改革委联合发布的《关于开展多式联运示范工程的通知》揭开了多式联运示范工程的序幕至今，已有70个项目列入。湖南省目前有三个项目入选，分别是：</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w:t>
      </w:r>
      <w:r>
        <w:rPr>
          <w:rFonts w:ascii="仿宋_GB2312" w:eastAsia="仿宋_GB2312" w:hAnsiTheme="minorEastAsia"/>
          <w:sz w:val="32"/>
          <w:szCs w:val="32"/>
        </w:rPr>
        <w:t>湖南城陵矶新港水公铁集装箱多式联运示范工程</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牵头企业：湖南城陵矶临港新区开发投资有限公司、岳阳城陵矶新港有限公司、湖南弘元新港实业发展有限公司、湖南龙骧联运物流有限责任公司</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w:t>
      </w:r>
      <w:r>
        <w:rPr>
          <w:rFonts w:ascii="仿宋_GB2312" w:eastAsia="仿宋_GB2312" w:hAnsiTheme="minorEastAsia"/>
          <w:sz w:val="32"/>
          <w:szCs w:val="32"/>
        </w:rPr>
        <w:t>传化智联商品车及集装箱铁水公联运示范工程</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牵头单位：传化智联股份有限公司、湖南旺东物流有限公司</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联合单位：长沙传化公路港物流有限公司、长沙湘通国际铁路港有限公司、湖南长沙新港有限责任公司</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w:t>
      </w:r>
      <w:r>
        <w:rPr>
          <w:rFonts w:ascii="仿宋_GB2312" w:eastAsia="仿宋_GB2312" w:hAnsiTheme="minorEastAsia"/>
          <w:sz w:val="32"/>
          <w:szCs w:val="32"/>
        </w:rPr>
        <w:t>武陵山片区四省联动共推“一带一路”、长江经济带战略集装箱公铁水联运示范工程</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牵头单位：怀化蓝色快运有限公司、怀化市交通建设投资有限公司、中国铁路广州局集团有限公司、广州港物流有限公司、湖南惠农物流有限公司、怀化恒林物流服务有限公司、怀化市安丽物流责任有限公司、深圳市联力国际供应链管理有限公司</w:t>
      </w:r>
    </w:p>
    <w:p>
      <w:pPr>
        <w:pStyle w:val="4"/>
        <w:rPr>
          <w:rFonts w:ascii="仿宋_GB2312" w:eastAsia="仿宋_GB2312" w:cs="Times New Roman" w:hAnsiTheme="minorEastAsia"/>
          <w:bCs w:val="0"/>
        </w:rPr>
      </w:pPr>
      <w:bookmarkStart w:id="36" w:name="_Toc7300001"/>
      <w:r>
        <w:rPr>
          <w:rFonts w:hint="eastAsia" w:ascii="仿宋_GB2312" w:eastAsia="仿宋_GB2312" w:cs="Times New Roman" w:hAnsiTheme="minorEastAsia"/>
          <w:bCs w:val="0"/>
        </w:rPr>
        <w:t>2</w:t>
      </w:r>
      <w:r>
        <w:rPr>
          <w:rFonts w:ascii="仿宋_GB2312" w:eastAsia="仿宋_GB2312" w:cs="Times New Roman" w:hAnsiTheme="minorEastAsia"/>
          <w:bCs w:val="0"/>
        </w:rPr>
        <w:t>.2.5</w:t>
      </w:r>
      <w:r>
        <w:rPr>
          <w:rFonts w:hint="eastAsia" w:ascii="仿宋_GB2312" w:eastAsia="仿宋_GB2312" w:cs="Times New Roman" w:hAnsiTheme="minorEastAsia"/>
          <w:bCs w:val="0"/>
        </w:rPr>
        <w:t>无车承运人试点情况</w:t>
      </w:r>
      <w:bookmarkEnd w:id="36"/>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2016年9月1日，国家交通运输部办公厅发布了《关于推进改革试点加快无车承运物流创新发展的意见》，10月正式启动无车承运人试点工作，</w:t>
      </w:r>
      <w:r>
        <w:rPr>
          <w:rFonts w:hint="eastAsia" w:ascii="仿宋_GB2312" w:eastAsia="仿宋_GB2312" w:hAnsiTheme="minorEastAsia"/>
          <w:sz w:val="32"/>
          <w:szCs w:val="32"/>
        </w:rPr>
        <w:t>并</w:t>
      </w:r>
      <w:r>
        <w:rPr>
          <w:rFonts w:ascii="仿宋_GB2312" w:eastAsia="仿宋_GB2312" w:hAnsiTheme="minorEastAsia"/>
          <w:sz w:val="32"/>
          <w:szCs w:val="32"/>
        </w:rPr>
        <w:t>在全国29个省（区、市）共筛选确定了283个无车承运试点企业，</w:t>
      </w:r>
      <w:r>
        <w:rPr>
          <w:rFonts w:hint="eastAsia" w:ascii="仿宋_GB2312" w:eastAsia="仿宋_GB2312" w:hAnsiTheme="minorEastAsia"/>
          <w:sz w:val="32"/>
          <w:szCs w:val="32"/>
        </w:rPr>
        <w:t>其中湖南入选了长沙市实泰物流有限公司、湖南海驿智能物流产业发展有限公司、湖南省京阳物流有限公司、湖南省衡缘物流有限公司、湖南国联捷物流有限公司、招商局物流集团湖南有限公司、湖南湘北斗互联科技有限公司、长沙传化公路港物流有限公司、益阳市南县南洲物流园有限公司、衡阳市雁城物流园有限公司、湖南天骄物流信息科技有限公司、湖南龙骧神驰运输集团有限责任公司、湖南神州大地行物流有限公司、益阳市湘运物流有限责任公司等共计14家</w:t>
      </w:r>
      <w:r>
        <w:rPr>
          <w:rFonts w:ascii="仿宋_GB2312" w:eastAsia="仿宋_GB2312" w:hAnsiTheme="minorEastAsia"/>
          <w:sz w:val="32"/>
          <w:szCs w:val="32"/>
        </w:rPr>
        <w:t>无车承运试点企业</w:t>
      </w:r>
      <w:r>
        <w:rPr>
          <w:rFonts w:hint="eastAsia" w:ascii="仿宋_GB2312" w:eastAsia="仿宋_GB2312" w:hAnsiTheme="minorEastAsia"/>
          <w:sz w:val="32"/>
          <w:szCs w:val="32"/>
        </w:rPr>
        <w:t>。经过为期</w:t>
      </w:r>
      <w:r>
        <w:rPr>
          <w:rFonts w:ascii="仿宋_GB2312" w:eastAsia="仿宋_GB2312" w:hAnsiTheme="minorEastAsia"/>
          <w:sz w:val="32"/>
          <w:szCs w:val="32"/>
        </w:rPr>
        <w:t>一年</w:t>
      </w:r>
      <w:r>
        <w:rPr>
          <w:rFonts w:hint="eastAsia" w:ascii="仿宋_GB2312" w:eastAsia="仿宋_GB2312" w:hAnsiTheme="minorEastAsia"/>
          <w:sz w:val="32"/>
          <w:szCs w:val="32"/>
        </w:rPr>
        <w:t>的</w:t>
      </w:r>
      <w:r>
        <w:rPr>
          <w:rFonts w:ascii="仿宋_GB2312" w:eastAsia="仿宋_GB2312" w:hAnsiTheme="minorEastAsia"/>
          <w:sz w:val="32"/>
          <w:szCs w:val="32"/>
        </w:rPr>
        <w:t>试点</w:t>
      </w:r>
      <w:r>
        <w:rPr>
          <w:rFonts w:hint="eastAsia" w:ascii="仿宋_GB2312" w:eastAsia="仿宋_GB2312" w:hAnsiTheme="minorEastAsia"/>
          <w:sz w:val="32"/>
          <w:szCs w:val="32"/>
        </w:rPr>
        <w:t>，</w:t>
      </w:r>
      <w:r>
        <w:rPr>
          <w:rFonts w:ascii="仿宋_GB2312" w:eastAsia="仿宋_GB2312" w:hAnsiTheme="minorEastAsia"/>
          <w:sz w:val="32"/>
          <w:szCs w:val="32"/>
        </w:rPr>
        <w:t>并依据</w:t>
      </w:r>
      <w:r>
        <w:rPr>
          <w:rFonts w:hint="eastAsia" w:ascii="仿宋_GB2312" w:eastAsia="仿宋_GB2312" w:hAnsiTheme="minorEastAsia"/>
          <w:sz w:val="32"/>
          <w:szCs w:val="32"/>
        </w:rPr>
        <w:t>交通运输</w:t>
      </w:r>
      <w:r>
        <w:rPr>
          <w:rFonts w:ascii="仿宋_GB2312" w:eastAsia="仿宋_GB2312" w:hAnsiTheme="minorEastAsia"/>
          <w:sz w:val="32"/>
          <w:szCs w:val="32"/>
        </w:rPr>
        <w:t>部无车承运试点运行监测平台</w:t>
      </w:r>
      <w:r>
        <w:rPr>
          <w:rFonts w:hint="eastAsia" w:ascii="仿宋_GB2312" w:eastAsia="仿宋_GB2312" w:hAnsiTheme="minorEastAsia"/>
          <w:sz w:val="32"/>
          <w:szCs w:val="32"/>
        </w:rPr>
        <w:t>的</w:t>
      </w:r>
      <w:r>
        <w:rPr>
          <w:rFonts w:ascii="仿宋_GB2312" w:eastAsia="仿宋_GB2312" w:hAnsiTheme="minorEastAsia"/>
          <w:sz w:val="32"/>
          <w:szCs w:val="32"/>
        </w:rPr>
        <w:t>统计数据和各省考核情况对试点企业进行了复核，</w:t>
      </w:r>
      <w:r>
        <w:rPr>
          <w:rFonts w:hint="eastAsia" w:ascii="仿宋_GB2312" w:eastAsia="仿宋_GB2312" w:hAnsiTheme="minorEastAsia"/>
          <w:sz w:val="32"/>
          <w:szCs w:val="32"/>
        </w:rPr>
        <w:t>全国</w:t>
      </w:r>
      <w:r>
        <w:rPr>
          <w:rFonts w:ascii="仿宋_GB2312" w:eastAsia="仿宋_GB2312" w:hAnsiTheme="minorEastAsia"/>
          <w:sz w:val="32"/>
          <w:szCs w:val="32"/>
        </w:rPr>
        <w:t>有</w:t>
      </w:r>
      <w:r>
        <w:rPr>
          <w:rFonts w:ascii="仿宋_GB2312" w:eastAsia="仿宋_GB2312" w:hAnsiTheme="minorEastAsia"/>
          <w:bCs/>
          <w:sz w:val="32"/>
          <w:szCs w:val="32"/>
        </w:rPr>
        <w:t>229家</w:t>
      </w:r>
      <w:r>
        <w:rPr>
          <w:rFonts w:ascii="仿宋_GB2312" w:eastAsia="仿宋_GB2312" w:hAnsiTheme="minorEastAsia"/>
          <w:sz w:val="32"/>
          <w:szCs w:val="32"/>
        </w:rPr>
        <w:t>无车承运试点企业考核合格</w:t>
      </w:r>
      <w:r>
        <w:rPr>
          <w:rFonts w:hint="eastAsia" w:ascii="仿宋_GB2312" w:eastAsia="仿宋_GB2312" w:hAnsiTheme="minorEastAsia"/>
          <w:sz w:val="32"/>
          <w:szCs w:val="32"/>
        </w:rPr>
        <w:t>，其中湖南省有11家</w:t>
      </w:r>
      <w:r>
        <w:rPr>
          <w:rFonts w:ascii="仿宋_GB2312" w:eastAsia="仿宋_GB2312" w:hAnsiTheme="minorEastAsia"/>
          <w:sz w:val="32"/>
          <w:szCs w:val="32"/>
        </w:rPr>
        <w:t>合格</w:t>
      </w:r>
      <w:r>
        <w:rPr>
          <w:rFonts w:hint="eastAsia" w:ascii="仿宋_GB2312" w:eastAsia="仿宋_GB2312" w:hAnsiTheme="minorEastAsia"/>
          <w:sz w:val="32"/>
          <w:szCs w:val="32"/>
        </w:rPr>
        <w:t>。2019年3月，湖南省道路运输管理局发布了《省交通运输厅关于进一步推进道路货运无车承运人试点工作的通知》，决定在省内进一步推进道路货运无车承运人试点工作，目前湖南省第二批无车承运资格进入申请阶段。</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通过试点，湖南省物流</w:t>
      </w:r>
      <w:r>
        <w:rPr>
          <w:rFonts w:ascii="仿宋_GB2312" w:eastAsia="仿宋_GB2312" w:hAnsiTheme="minorEastAsia"/>
          <w:sz w:val="32"/>
          <w:szCs w:val="32"/>
        </w:rPr>
        <w:t>资源整合能力</w:t>
      </w:r>
      <w:r>
        <w:rPr>
          <w:rFonts w:hint="eastAsia" w:ascii="仿宋_GB2312" w:eastAsia="仿宋_GB2312" w:hAnsiTheme="minorEastAsia"/>
          <w:sz w:val="32"/>
          <w:szCs w:val="32"/>
        </w:rPr>
        <w:t>得到了</w:t>
      </w:r>
      <w:r>
        <w:rPr>
          <w:rFonts w:ascii="仿宋_GB2312" w:eastAsia="仿宋_GB2312" w:hAnsiTheme="minorEastAsia"/>
          <w:sz w:val="32"/>
          <w:szCs w:val="32"/>
        </w:rPr>
        <w:t>显著提升</w:t>
      </w:r>
      <w:r>
        <w:rPr>
          <w:rFonts w:hint="eastAsia" w:ascii="仿宋_GB2312" w:eastAsia="仿宋_GB2312" w:hAnsiTheme="minorEastAsia"/>
          <w:sz w:val="32"/>
          <w:szCs w:val="32"/>
        </w:rPr>
        <w:t>，</w:t>
      </w:r>
      <w:r>
        <w:rPr>
          <w:rFonts w:ascii="仿宋_GB2312" w:eastAsia="仿宋_GB2312" w:hAnsiTheme="minorEastAsia"/>
          <w:sz w:val="32"/>
          <w:szCs w:val="32"/>
        </w:rPr>
        <w:t>平台集聚效应逐步显现，运输组织化程度明显提高</w:t>
      </w:r>
      <w:r>
        <w:rPr>
          <w:rFonts w:hint="eastAsia" w:ascii="仿宋_GB2312" w:eastAsia="仿宋_GB2312" w:hAnsiTheme="minorEastAsia"/>
          <w:sz w:val="32"/>
          <w:szCs w:val="32"/>
        </w:rPr>
        <w:t>，物流</w:t>
      </w:r>
      <w:r>
        <w:rPr>
          <w:rFonts w:ascii="仿宋_GB2312" w:eastAsia="仿宋_GB2312" w:hAnsiTheme="minorEastAsia"/>
          <w:sz w:val="32"/>
          <w:szCs w:val="32"/>
        </w:rPr>
        <w:t>行业集中度不断增强，物流资源进一步集聚，逐步向集约化、规模化方向发展</w:t>
      </w:r>
      <w:r>
        <w:rPr>
          <w:rFonts w:hint="eastAsia" w:ascii="仿宋_GB2312" w:eastAsia="仿宋_GB2312" w:hAnsiTheme="minorEastAsia"/>
          <w:sz w:val="32"/>
          <w:szCs w:val="32"/>
        </w:rPr>
        <w:t>，</w:t>
      </w:r>
      <w:r>
        <w:rPr>
          <w:rFonts w:ascii="仿宋_GB2312" w:eastAsia="仿宋_GB2312" w:hAnsiTheme="minorEastAsia"/>
          <w:sz w:val="32"/>
          <w:szCs w:val="32"/>
        </w:rPr>
        <w:t>试点企业对运输安全的管控能力不断增强</w:t>
      </w:r>
      <w:r>
        <w:rPr>
          <w:rFonts w:hint="eastAsia" w:ascii="仿宋_GB2312" w:eastAsia="仿宋_GB2312" w:hAnsiTheme="minorEastAsia"/>
          <w:sz w:val="32"/>
          <w:szCs w:val="32"/>
        </w:rPr>
        <w:t>，</w:t>
      </w:r>
      <w:r>
        <w:rPr>
          <w:rFonts w:ascii="仿宋_GB2312" w:eastAsia="仿宋_GB2312" w:hAnsiTheme="minorEastAsia"/>
          <w:sz w:val="32"/>
          <w:szCs w:val="32"/>
        </w:rPr>
        <w:t>风险防控能力明显提高</w:t>
      </w:r>
      <w:r>
        <w:rPr>
          <w:rFonts w:hint="eastAsia" w:ascii="仿宋_GB2312" w:eastAsia="仿宋_GB2312" w:hAnsiTheme="minorEastAsia"/>
          <w:sz w:val="32"/>
          <w:szCs w:val="32"/>
        </w:rPr>
        <w:t>。</w:t>
      </w:r>
    </w:p>
    <w:p>
      <w:pPr>
        <w:pStyle w:val="4"/>
        <w:rPr>
          <w:rFonts w:ascii="仿宋_GB2312" w:eastAsia="仿宋_GB2312" w:cs="Times New Roman" w:hAnsiTheme="minorEastAsia"/>
          <w:bCs w:val="0"/>
        </w:rPr>
      </w:pPr>
      <w:bookmarkStart w:id="37" w:name="_Toc7300002"/>
      <w:r>
        <w:rPr>
          <w:rFonts w:hint="eastAsia" w:ascii="仿宋_GB2312" w:eastAsia="仿宋_GB2312" w:cs="Times New Roman" w:hAnsiTheme="minorEastAsia"/>
          <w:bCs w:val="0"/>
        </w:rPr>
        <w:t>2</w:t>
      </w:r>
      <w:r>
        <w:rPr>
          <w:rFonts w:ascii="仿宋_GB2312" w:eastAsia="仿宋_GB2312" w:cs="Times New Roman" w:hAnsiTheme="minorEastAsia"/>
          <w:bCs w:val="0"/>
        </w:rPr>
        <w:t>.2.6物流标准化试点</w:t>
      </w:r>
      <w:r>
        <w:rPr>
          <w:rFonts w:hint="eastAsia" w:ascii="仿宋_GB2312" w:eastAsia="仿宋_GB2312" w:cs="Times New Roman" w:hAnsiTheme="minorEastAsia"/>
          <w:bCs w:val="0"/>
        </w:rPr>
        <w:t>情况</w:t>
      </w:r>
      <w:bookmarkEnd w:id="37"/>
    </w:p>
    <w:p>
      <w:pPr>
        <w:spacing w:line="360" w:lineRule="auto"/>
        <w:ind w:firstLine="640" w:firstLineChars="200"/>
        <w:rPr>
          <w:rFonts w:ascii="仿宋_GB2312" w:eastAsia="仿宋_GB2312" w:cs="Times New Roman" w:hAnsiTheme="minorEastAsia"/>
          <w:sz w:val="32"/>
          <w:szCs w:val="32"/>
        </w:rPr>
      </w:pPr>
      <w:r>
        <w:rPr>
          <w:rFonts w:hint="eastAsia" w:ascii="仿宋_GB2312" w:eastAsia="仿宋_GB2312" w:cs="Times New Roman" w:hAnsiTheme="minorEastAsia"/>
          <w:sz w:val="32"/>
          <w:szCs w:val="32"/>
        </w:rPr>
        <w:t>为加快推动物流标准应用实施，发挥市场主体作用，2014年、2015年商务部分别出台了《商务部办公厅 国家标准委办公室关于印发&lt;商贸物流标准化专项行动计划&gt;的通知》（商办流通函〔2014〕752号）、《</w:t>
      </w:r>
      <w:r>
        <w:fldChar w:fldCharType="begin"/>
      </w:r>
      <w:r>
        <w:instrText xml:space="preserve"> HYPERLINK "http://file.mofcom.gov.cn/article/gkml/201509/20150901119218.shtml" \t "_blank" </w:instrText>
      </w:r>
      <w:r>
        <w:fldChar w:fldCharType="separate"/>
      </w:r>
      <w:r>
        <w:rPr>
          <w:rFonts w:hint="eastAsia" w:ascii="仿宋_GB2312" w:eastAsia="仿宋_GB2312" w:cs="Times New Roman" w:hAnsiTheme="minorEastAsia"/>
          <w:sz w:val="32"/>
          <w:szCs w:val="32"/>
        </w:rPr>
        <w:t>商务部办公厅关于请推荐商贸物流标准化专项行动重点推进企业（协会）和智慧物流配送示范单位的函</w:t>
      </w:r>
      <w:r>
        <w:rPr>
          <w:rFonts w:hint="eastAsia" w:ascii="仿宋_GB2312" w:eastAsia="仿宋_GB2312" w:cs="Times New Roman" w:hAnsiTheme="minorEastAsia"/>
          <w:sz w:val="32"/>
          <w:szCs w:val="32"/>
        </w:rPr>
        <w:fldChar w:fldCharType="end"/>
      </w:r>
      <w:r>
        <w:rPr>
          <w:rFonts w:hint="eastAsia" w:ascii="仿宋_GB2312" w:eastAsia="仿宋_GB2312" w:cs="Times New Roman" w:hAnsiTheme="minorEastAsia"/>
          <w:sz w:val="32"/>
          <w:szCs w:val="32"/>
        </w:rPr>
        <w:t>》（商办流通函〔2015〕651号）。截至目前，已完成三批共计280家重点推进企业（协会）的甄选，其中湖南省共涉及11家企业和地方省级协会，分别是大型商贸（连锁）企业3家：湖南省博瑞新特药有限公司、湖南省湾田实业有限公司、湖南省天士力民生药业有限公司；托盘生产企业1家：湖南省华望科技股份有限公司；第三方物流企业（含信息平台）6家：湖南省伟鸿食品股份有限公司、湖南省浩通国际货运代理有限公司、湖南省云通物流服务有限公司、</w:t>
      </w:r>
      <w:r>
        <w:rPr>
          <w:rFonts w:ascii="仿宋_GB2312" w:eastAsia="仿宋_GB2312" w:cs="Times New Roman" w:hAnsiTheme="minorEastAsia"/>
          <w:sz w:val="32"/>
          <w:szCs w:val="32"/>
        </w:rPr>
        <w:t>湖南省行行行仓储经营管理有限公司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湘潭绿丰保鲜蔬菜配送有限公司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长沙畅通物流有限公司</w:t>
      </w:r>
      <w:r>
        <w:rPr>
          <w:rFonts w:hint="eastAsia" w:ascii="仿宋_GB2312" w:eastAsia="仿宋_GB2312" w:cs="Times New Roman" w:hAnsiTheme="minorEastAsia"/>
          <w:sz w:val="32"/>
          <w:szCs w:val="32"/>
        </w:rPr>
        <w:t>；地方省级协会1家：湖南省物流与采购联合会。</w:t>
      </w:r>
    </w:p>
    <w:p>
      <w:pPr>
        <w:spacing w:line="360" w:lineRule="auto"/>
        <w:ind w:firstLine="640" w:firstLineChars="200"/>
        <w:jc w:val="left"/>
        <w:rPr>
          <w:rFonts w:ascii="仿宋_GB2312" w:eastAsia="仿宋_GB2312" w:cs="Times New Roman" w:hAnsiTheme="minorEastAsia"/>
          <w:sz w:val="32"/>
          <w:szCs w:val="32"/>
        </w:rPr>
      </w:pPr>
      <w:r>
        <w:rPr>
          <w:rFonts w:hint="eastAsia" w:ascii="仿宋_GB2312" w:eastAsia="仿宋_GB2312" w:cs="Times New Roman" w:hAnsiTheme="minorEastAsia"/>
          <w:sz w:val="32"/>
          <w:szCs w:val="32"/>
        </w:rPr>
        <w:t>通过试点，湖南省物流成本有所降低，物流效率显著提高，</w:t>
      </w:r>
      <w:r>
        <w:rPr>
          <w:rFonts w:hint="eastAsia" w:ascii="仿宋_GB2312" w:eastAsia="仿宋_GB2312" w:hAnsiTheme="minorEastAsia"/>
          <w:sz w:val="32"/>
          <w:szCs w:val="32"/>
        </w:rPr>
        <w:t>平台服务功能得到了增强，资源共享和信息互联互通大大提升，物流标准化水平得到了显著提高。</w:t>
      </w:r>
    </w:p>
    <w:p>
      <w:pPr>
        <w:pStyle w:val="4"/>
        <w:rPr>
          <w:rFonts w:ascii="仿宋_GB2312" w:eastAsia="仿宋_GB2312" w:cs="Times New Roman" w:hAnsiTheme="minorEastAsia"/>
          <w:bCs w:val="0"/>
        </w:rPr>
      </w:pPr>
      <w:bookmarkStart w:id="38" w:name="_Toc7300003"/>
      <w:r>
        <w:rPr>
          <w:rFonts w:hint="eastAsia" w:ascii="仿宋_GB2312" w:eastAsia="仿宋_GB2312" w:cs="Times New Roman" w:hAnsiTheme="minorEastAsia"/>
          <w:bCs w:val="0"/>
        </w:rPr>
        <w:t>2</w:t>
      </w:r>
      <w:r>
        <w:rPr>
          <w:rFonts w:ascii="仿宋_GB2312" w:eastAsia="仿宋_GB2312" w:cs="Times New Roman" w:hAnsiTheme="minorEastAsia"/>
          <w:bCs w:val="0"/>
        </w:rPr>
        <w:t>.2.7物流供应链</w:t>
      </w:r>
      <w:r>
        <w:rPr>
          <w:rFonts w:hint="eastAsia" w:ascii="仿宋_GB2312" w:eastAsia="仿宋_GB2312" w:cs="Times New Roman" w:hAnsiTheme="minorEastAsia"/>
          <w:bCs w:val="0"/>
        </w:rPr>
        <w:t>创新与应用</w:t>
      </w:r>
      <w:r>
        <w:rPr>
          <w:rFonts w:ascii="仿宋_GB2312" w:eastAsia="仿宋_GB2312" w:cs="Times New Roman" w:hAnsiTheme="minorEastAsia"/>
          <w:bCs w:val="0"/>
        </w:rPr>
        <w:t>试点</w:t>
      </w:r>
      <w:r>
        <w:rPr>
          <w:rFonts w:hint="eastAsia" w:ascii="仿宋_GB2312" w:eastAsia="仿宋_GB2312" w:cs="Times New Roman" w:hAnsiTheme="minorEastAsia"/>
          <w:bCs w:val="0"/>
        </w:rPr>
        <w:t>情况</w:t>
      </w:r>
      <w:bookmarkEnd w:id="38"/>
    </w:p>
    <w:p>
      <w:pPr>
        <w:spacing w:line="360" w:lineRule="auto"/>
        <w:ind w:firstLine="640" w:firstLineChars="200"/>
        <w:rPr>
          <w:rFonts w:ascii="仿宋_GB2312" w:eastAsia="仿宋_GB2312" w:hAnsiTheme="minorEastAsia"/>
          <w:color w:val="FF0000"/>
          <w:sz w:val="32"/>
          <w:szCs w:val="32"/>
          <w:u w:val="single"/>
        </w:rPr>
      </w:pPr>
      <w:r>
        <w:rPr>
          <w:rFonts w:hint="eastAsia" w:ascii="仿宋_GB2312" w:eastAsia="仿宋_GB2312" w:cs="Times New Roman" w:hAnsiTheme="minorEastAsia"/>
          <w:sz w:val="32"/>
          <w:szCs w:val="32"/>
        </w:rPr>
        <w:t>2017</w:t>
      </w:r>
      <w:r>
        <w:rPr>
          <w:rFonts w:ascii="仿宋_GB2312" w:eastAsia="仿宋_GB2312" w:cs="Times New Roman" w:hAnsiTheme="minorEastAsia"/>
          <w:sz w:val="32"/>
          <w:szCs w:val="32"/>
        </w:rPr>
        <w:t>年10月13日，国务院办公厅印发了《关于积极推进供应链创新与应用的指导意见》，首次在国家层面上提出了中国供应链发展的目标：“到2020年，基本形成覆盖我国重点产业的智慧供应链体系，培育100家左右的全球供应链领先企业，中国成为全球供应链创新与应用的重要中心。”</w:t>
      </w:r>
      <w:r>
        <w:rPr>
          <w:rFonts w:hint="eastAsia" w:ascii="仿宋_GB2312" w:eastAsia="仿宋_GB2312" w:cs="Times New Roman" w:hAnsiTheme="minorEastAsia"/>
          <w:sz w:val="32"/>
          <w:szCs w:val="32"/>
        </w:rPr>
        <w:t>其后又相继出台了《关于开展供应链创新与应用试点的通知》、《关于开展2018年流通领域现代供应链体系建设的通知》、《关于开展供应链体系建设工作的通知》等政策文件，加快推进我国现代供应链创新发展，并在全国选取了</w:t>
      </w:r>
      <w:r>
        <w:rPr>
          <w:rFonts w:ascii="仿宋_GB2312" w:eastAsia="仿宋_GB2312" w:cs="Times New Roman" w:hAnsiTheme="minorEastAsia"/>
          <w:sz w:val="32"/>
          <w:szCs w:val="32"/>
        </w:rPr>
        <w:t>55个城市</w:t>
      </w:r>
      <w:r>
        <w:rPr>
          <w:rFonts w:hint="eastAsia" w:ascii="仿宋_GB2312" w:eastAsia="仿宋_GB2312" w:cs="Times New Roman" w:hAnsiTheme="minorEastAsia"/>
          <w:sz w:val="32"/>
          <w:szCs w:val="32"/>
        </w:rPr>
        <w:t>的</w:t>
      </w:r>
      <w:r>
        <w:rPr>
          <w:rFonts w:ascii="仿宋_GB2312" w:eastAsia="仿宋_GB2312" w:cs="Times New Roman" w:hAnsiTheme="minorEastAsia"/>
          <w:sz w:val="32"/>
          <w:szCs w:val="32"/>
        </w:rPr>
        <w:t>269家企业</w:t>
      </w:r>
      <w:r>
        <w:rPr>
          <w:rFonts w:hint="eastAsia" w:ascii="仿宋_GB2312" w:eastAsia="仿宋_GB2312" w:cs="Times New Roman" w:hAnsiTheme="minorEastAsia"/>
          <w:sz w:val="32"/>
          <w:szCs w:val="32"/>
        </w:rPr>
        <w:t>作为</w:t>
      </w:r>
      <w:r>
        <w:rPr>
          <w:rFonts w:ascii="仿宋_GB2312" w:eastAsia="仿宋_GB2312" w:cs="Times New Roman" w:hAnsiTheme="minorEastAsia"/>
          <w:sz w:val="32"/>
          <w:szCs w:val="32"/>
        </w:rPr>
        <w:t>物流供应链</w:t>
      </w:r>
      <w:r>
        <w:rPr>
          <w:rFonts w:hint="eastAsia" w:ascii="仿宋_GB2312" w:eastAsia="仿宋_GB2312" w:cs="Times New Roman" w:hAnsiTheme="minorEastAsia"/>
          <w:sz w:val="32"/>
          <w:szCs w:val="32"/>
        </w:rPr>
        <w:t>创新与应用</w:t>
      </w:r>
      <w:r>
        <w:rPr>
          <w:rFonts w:ascii="仿宋_GB2312" w:eastAsia="仿宋_GB2312" w:cs="Times New Roman" w:hAnsiTheme="minorEastAsia"/>
          <w:sz w:val="32"/>
          <w:szCs w:val="32"/>
        </w:rPr>
        <w:t>试点</w:t>
      </w:r>
      <w:r>
        <w:rPr>
          <w:rFonts w:hint="eastAsia" w:ascii="仿宋_GB2312" w:eastAsia="仿宋_GB2312" w:cs="Times New Roman" w:hAnsiTheme="minorEastAsia"/>
          <w:sz w:val="32"/>
          <w:szCs w:val="32"/>
        </w:rPr>
        <w:t>，其中湖南省入选7家企业，分别是</w:t>
      </w:r>
      <w:r>
        <w:rPr>
          <w:rFonts w:ascii="仿宋_GB2312" w:eastAsia="仿宋_GB2312" w:cs="Times New Roman" w:hAnsiTheme="minorEastAsia"/>
          <w:sz w:val="32"/>
          <w:szCs w:val="32"/>
        </w:rPr>
        <w:t>步步高商业连锁股份有限公司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湖南嘉德集团有限公司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湖南青柳源生物科技有限公司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湖南湘佳牧业股份有限公司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湖南中芯供应链有限公司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三一集团有限公司</w:t>
      </w:r>
      <w:r>
        <w:rPr>
          <w:rFonts w:hint="eastAsia" w:ascii="仿宋_GB2312" w:eastAsia="仿宋_GB2312" w:cs="Times New Roman" w:hAnsiTheme="minorEastAsia"/>
          <w:sz w:val="32"/>
          <w:szCs w:val="32"/>
        </w:rPr>
        <w:t>、</w:t>
      </w:r>
      <w:r>
        <w:rPr>
          <w:rFonts w:ascii="仿宋_GB2312" w:eastAsia="仿宋_GB2312" w:cs="Times New Roman" w:hAnsiTheme="minorEastAsia"/>
          <w:sz w:val="32"/>
          <w:szCs w:val="32"/>
        </w:rPr>
        <w:t>袁隆平农业高科技股份有限公司</w:t>
      </w:r>
      <w:r>
        <w:rPr>
          <w:rFonts w:hint="eastAsia" w:ascii="仿宋_GB2312" w:eastAsia="仿宋_GB2312" w:cs="Times New Roman" w:hAnsiTheme="minorEastAsia"/>
          <w:sz w:val="32"/>
          <w:szCs w:val="32"/>
        </w:rPr>
        <w:t>，湘潭</w:t>
      </w:r>
      <w:r>
        <w:rPr>
          <w:rFonts w:ascii="仿宋_GB2312" w:eastAsia="仿宋_GB2312" w:cs="Times New Roman" w:hAnsiTheme="minorEastAsia"/>
          <w:sz w:val="32"/>
          <w:szCs w:val="32"/>
        </w:rPr>
        <w:t>入围全国供应链创新与应用试点城市</w:t>
      </w:r>
      <w:r>
        <w:rPr>
          <w:rFonts w:hint="eastAsia" w:ascii="仿宋_GB2312" w:eastAsia="仿宋_GB2312" w:cs="Times New Roman" w:hAnsiTheme="minorEastAsia"/>
          <w:sz w:val="32"/>
          <w:szCs w:val="32"/>
        </w:rPr>
        <w:t>。</w:t>
      </w:r>
    </w:p>
    <w:p>
      <w:pPr>
        <w:pStyle w:val="4"/>
        <w:rPr>
          <w:rFonts w:ascii="仿宋_GB2312" w:eastAsia="仿宋_GB2312" w:hAnsiTheme="minorEastAsia"/>
          <w:b w:val="0"/>
        </w:rPr>
      </w:pPr>
      <w:bookmarkStart w:id="39" w:name="_Toc7300004"/>
      <w:r>
        <w:rPr>
          <w:rFonts w:hint="eastAsia" w:ascii="仿宋_GB2312" w:eastAsia="仿宋_GB2312" w:cs="Times New Roman" w:hAnsiTheme="minorEastAsia"/>
          <w:bCs w:val="0"/>
        </w:rPr>
        <w:t>2</w:t>
      </w:r>
      <w:r>
        <w:rPr>
          <w:rFonts w:ascii="仿宋_GB2312" w:eastAsia="仿宋_GB2312" w:cs="Times New Roman" w:hAnsiTheme="minorEastAsia"/>
          <w:bCs w:val="0"/>
        </w:rPr>
        <w:t>.2.8</w:t>
      </w:r>
      <w:r>
        <w:rPr>
          <w:rFonts w:hint="eastAsia" w:ascii="仿宋_GB2312" w:eastAsia="仿宋_GB2312" w:cs="Times New Roman" w:hAnsiTheme="minorEastAsia"/>
          <w:bCs w:val="0"/>
        </w:rPr>
        <w:t>物流信息化智能化发展情况</w:t>
      </w:r>
      <w:bookmarkEnd w:id="39"/>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——湖南交通</w:t>
      </w:r>
      <w:r>
        <w:rPr>
          <w:rFonts w:ascii="仿宋_GB2312" w:eastAsia="仿宋_GB2312" w:hAnsiTheme="minorEastAsia"/>
          <w:b/>
          <w:sz w:val="32"/>
          <w:szCs w:val="32"/>
        </w:rPr>
        <w:t>物流信息共享平台</w:t>
      </w:r>
      <w:r>
        <w:rPr>
          <w:rFonts w:hint="eastAsia" w:ascii="仿宋_GB2312" w:eastAsia="仿宋_GB2312" w:hAnsiTheme="minorEastAsia"/>
          <w:b/>
          <w:sz w:val="32"/>
          <w:szCs w:val="32"/>
        </w:rPr>
        <w:t>建设</w:t>
      </w:r>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湖南交通物流信息共享平台</w:t>
      </w:r>
      <w:r>
        <w:rPr>
          <w:rFonts w:hint="eastAsia" w:ascii="仿宋_GB2312" w:eastAsia="仿宋_GB2312" w:hAnsiTheme="minorEastAsia"/>
          <w:sz w:val="32"/>
          <w:szCs w:val="32"/>
        </w:rPr>
        <w:t>是</w:t>
      </w:r>
      <w:r>
        <w:rPr>
          <w:rFonts w:ascii="仿宋_GB2312" w:eastAsia="仿宋_GB2312" w:hAnsiTheme="minorEastAsia"/>
          <w:sz w:val="32"/>
          <w:szCs w:val="32"/>
        </w:rPr>
        <w:t>由湖南省交通运输厅批准建设，以“政府牵头，多方共建，企业参与”的建设理念，通过调动各方积极性，创新合作模式，共同打造物流信息服务新生态，形成政府、市场合作共赢的新格局平台依托中部交通枢纽优势，致力于打造湖南物流产业大数据云平台。湖南物流信息产业联盟，是由湖南交通物流信息共享平台组织，物流企业、货主企业、第三方服务企业共同参与，共享、共建、共赢的非营利性机构。联盟旨在挖掘壮大湖南物流产业优势，整合物流供应链资源，拓宽湖南物流产业领域，依托物流信息化平台的融合、升级，提升物流信息化建设，打造具有领先优势的省级物流信息产业大联盟。</w:t>
      </w:r>
    </w:p>
    <w:p>
      <w:pPr>
        <w:spacing w:line="360" w:lineRule="auto"/>
        <w:ind w:firstLine="643" w:firstLineChars="200"/>
        <w:jc w:val="left"/>
        <w:rPr>
          <w:rFonts w:ascii="仿宋_GB2312" w:eastAsia="仿宋_GB2312" w:cs="Times New Roman" w:hAnsiTheme="minorEastAsia"/>
          <w:b/>
          <w:sz w:val="32"/>
          <w:szCs w:val="32"/>
        </w:rPr>
      </w:pPr>
      <w:r>
        <w:rPr>
          <w:rFonts w:hint="eastAsia" w:ascii="仿宋_GB2312" w:eastAsia="仿宋_GB2312" w:cs="Times New Roman" w:hAnsiTheme="minorEastAsia"/>
          <w:b/>
          <w:sz w:val="32"/>
          <w:szCs w:val="32"/>
        </w:rPr>
        <w:t>——湖南一力物流园“钢铁物流云仓”</w:t>
      </w:r>
    </w:p>
    <w:p>
      <w:pPr>
        <w:spacing w:line="360" w:lineRule="auto"/>
        <w:ind w:firstLine="640" w:firstLineChars="200"/>
        <w:jc w:val="left"/>
        <w:rPr>
          <w:rFonts w:ascii="仿宋_GB2312" w:eastAsia="仿宋_GB2312" w:cs="Times New Roman" w:hAnsiTheme="minorEastAsia"/>
          <w:sz w:val="32"/>
          <w:szCs w:val="32"/>
        </w:rPr>
      </w:pPr>
      <w:r>
        <w:rPr>
          <w:rFonts w:hint="eastAsia" w:ascii="仿宋_GB2312" w:eastAsia="仿宋_GB2312" w:cs="Times New Roman" w:hAnsiTheme="minorEastAsia"/>
          <w:sz w:val="32"/>
          <w:szCs w:val="32"/>
        </w:rPr>
        <w:t>一力物流园在仓储式门店、现货交易的钢铁物流基础上，依托园区资源打造融电子交易、信息整合、物流、金融等为一体的现代化物流公共信息平台——一力钢铁网，为钢贸流通电子化交易起到了举足轻重的作用。“一力钢铁网”公共信息平台是国家信息化“倍增计划”项目，得到了各级政府的大力支持。目前，“一力钢铁网”公共信息平台已实现为广大客户提供远程货物查询、网上下单、信息发布、商贸融资和资源报告等电子商务和网上交易功能。</w:t>
      </w:r>
    </w:p>
    <w:p>
      <w:pPr>
        <w:pStyle w:val="3"/>
        <w:rPr>
          <w:rFonts w:ascii="楷体" w:hAnsi="楷体" w:eastAsia="楷体"/>
        </w:rPr>
      </w:pPr>
      <w:bookmarkStart w:id="40" w:name="_Toc7300005"/>
      <w:bookmarkStart w:id="41" w:name="_Toc7300063"/>
      <w:r>
        <w:rPr>
          <w:rFonts w:hint="eastAsia" w:ascii="楷体" w:hAnsi="楷体" w:eastAsia="楷体"/>
        </w:rPr>
        <w:t>2.3物流企业</w:t>
      </w:r>
      <w:bookmarkEnd w:id="32"/>
      <w:r>
        <w:rPr>
          <w:rFonts w:hint="eastAsia" w:ascii="楷体" w:hAnsi="楷体" w:eastAsia="楷体"/>
        </w:rPr>
        <w:t>发展</w:t>
      </w:r>
      <w:r>
        <w:rPr>
          <w:rFonts w:ascii="楷体" w:hAnsi="楷体" w:eastAsia="楷体"/>
        </w:rPr>
        <w:t>情况</w:t>
      </w:r>
      <w:bookmarkEnd w:id="40"/>
      <w:bookmarkEnd w:id="41"/>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改革开放40年来，湖南物流实现了向高速扩张的跨越式发展</w:t>
      </w:r>
      <w:r>
        <w:rPr>
          <w:rFonts w:hint="eastAsia" w:ascii="仿宋_GB2312" w:eastAsia="仿宋_GB2312" w:hAnsiTheme="minorEastAsia"/>
          <w:sz w:val="32"/>
          <w:szCs w:val="32"/>
        </w:rPr>
        <w:t>。</w:t>
      </w:r>
      <w:r>
        <w:rPr>
          <w:rFonts w:ascii="仿宋_GB2312" w:eastAsia="仿宋_GB2312" w:hAnsiTheme="minorEastAsia"/>
          <w:sz w:val="32"/>
          <w:szCs w:val="32"/>
        </w:rPr>
        <w:t>截至2018年</w:t>
      </w:r>
      <w:r>
        <w:rPr>
          <w:rFonts w:hint="eastAsia" w:ascii="仿宋_GB2312" w:eastAsia="仿宋_GB2312" w:hAnsiTheme="minorEastAsia"/>
          <w:sz w:val="32"/>
          <w:szCs w:val="32"/>
        </w:rPr>
        <w:t>底，湖南</w:t>
      </w:r>
      <w:r>
        <w:rPr>
          <w:rFonts w:ascii="仿宋_GB2312" w:eastAsia="仿宋_GB2312" w:hAnsiTheme="minorEastAsia"/>
          <w:sz w:val="32"/>
          <w:szCs w:val="32"/>
        </w:rPr>
        <w:t>全省拥有各类物流企业5.1万多家，其中规模以上法人企业4500多家，A级物流企业238家，其中5A级14家，走在了中部地区前列</w:t>
      </w:r>
      <w:r>
        <w:rPr>
          <w:rFonts w:hint="eastAsia" w:ascii="仿宋_GB2312" w:eastAsia="仿宋_GB2312" w:hAnsiTheme="minorEastAsia"/>
          <w:sz w:val="32"/>
          <w:szCs w:val="32"/>
        </w:rPr>
        <w:t>，</w:t>
      </w:r>
      <w:r>
        <w:rPr>
          <w:rFonts w:ascii="仿宋_GB2312" w:eastAsia="仿宋_GB2312" w:hAnsiTheme="minorEastAsia"/>
          <w:sz w:val="32"/>
          <w:szCs w:val="32"/>
        </w:rPr>
        <w:t>年主营业务收入过亿元的有230多家，基本覆盖物流各专业领域。</w:t>
      </w:r>
      <w:r>
        <w:rPr>
          <w:rFonts w:hint="eastAsia" w:ascii="仿宋_GB2312" w:eastAsia="仿宋_GB2312" w:hAnsiTheme="minorEastAsia"/>
          <w:sz w:val="32"/>
          <w:szCs w:val="32"/>
        </w:rPr>
        <w:t>5星级通用仓库13个、仓储金牌服务企业6家，物流高新技术企业1029家。</w:t>
      </w:r>
    </w:p>
    <w:p>
      <w:pPr>
        <w:pStyle w:val="3"/>
        <w:rPr>
          <w:rFonts w:ascii="楷体" w:hAnsi="楷体" w:eastAsia="楷体"/>
        </w:rPr>
      </w:pPr>
      <w:bookmarkStart w:id="42" w:name="_Toc7300006"/>
      <w:bookmarkStart w:id="43" w:name="_Toc7300064"/>
      <w:bookmarkStart w:id="44" w:name="_Toc6551636"/>
      <w:r>
        <w:rPr>
          <w:rFonts w:hint="eastAsia" w:ascii="楷体" w:hAnsi="楷体" w:eastAsia="楷体"/>
        </w:rPr>
        <w:t>2.4物流业</w:t>
      </w:r>
      <w:r>
        <w:rPr>
          <w:rFonts w:ascii="楷体" w:hAnsi="楷体" w:eastAsia="楷体"/>
        </w:rPr>
        <w:t>发展</w:t>
      </w:r>
      <w:r>
        <w:rPr>
          <w:rFonts w:hint="eastAsia" w:ascii="楷体" w:hAnsi="楷体" w:eastAsia="楷体"/>
        </w:rPr>
        <w:t>相关政策</w:t>
      </w:r>
      <w:bookmarkEnd w:id="42"/>
      <w:bookmarkEnd w:id="43"/>
      <w:bookmarkEnd w:id="44"/>
    </w:p>
    <w:p>
      <w:pPr>
        <w:pStyle w:val="6"/>
        <w:adjustRightInd w:val="0"/>
        <w:snapToGrid w:val="0"/>
        <w:spacing w:line="600" w:lineRule="exact"/>
        <w:ind w:firstLine="643" w:firstLineChars="200"/>
        <w:rPr>
          <w:rFonts w:ascii="仿宋_GB2312" w:eastAsia="仿宋_GB2312" w:hAnsiTheme="minorEastAsia"/>
          <w:sz w:val="32"/>
          <w:szCs w:val="32"/>
        </w:rPr>
      </w:pPr>
      <w:bookmarkStart w:id="45" w:name="_Toc6551637"/>
      <w:r>
        <w:rPr>
          <w:rFonts w:hint="eastAsia" w:ascii="仿宋_GB2312" w:eastAsia="仿宋_GB2312" w:hAnsiTheme="minorEastAsia"/>
          <w:b/>
          <w:sz w:val="32"/>
          <w:szCs w:val="32"/>
        </w:rPr>
        <w:t>（1）《湖南省现代物流业发展三年行动计划（2015-2017年）》，</w:t>
      </w:r>
      <w:r>
        <w:rPr>
          <w:rFonts w:hint="eastAsia" w:ascii="仿宋_GB2312" w:eastAsia="仿宋_GB2312" w:hAnsiTheme="minorEastAsia"/>
          <w:sz w:val="32"/>
          <w:szCs w:val="32"/>
        </w:rPr>
        <w:t>2015年5月，湖南省人民政府办公厅印发实施。</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（2）《</w:t>
      </w:r>
      <w:r>
        <w:rPr>
          <w:rFonts w:ascii="仿宋_GB2312" w:eastAsia="仿宋_GB2312" w:hAnsiTheme="minorEastAsia"/>
          <w:b/>
          <w:sz w:val="32"/>
          <w:szCs w:val="32"/>
        </w:rPr>
        <w:t>湖南省“十三五”物流业发展规划</w:t>
      </w:r>
      <w:r>
        <w:rPr>
          <w:rFonts w:hint="eastAsia" w:ascii="仿宋_GB2312" w:eastAsia="仿宋_GB2312" w:hAnsiTheme="minorEastAsia"/>
          <w:b/>
          <w:sz w:val="32"/>
          <w:szCs w:val="32"/>
        </w:rPr>
        <w:t>》。</w:t>
      </w:r>
      <w:r>
        <w:rPr>
          <w:rFonts w:hint="eastAsia" w:ascii="仿宋_GB2312" w:eastAsia="仿宋_GB2312" w:hAnsiTheme="minorEastAsia"/>
          <w:sz w:val="32"/>
          <w:szCs w:val="32"/>
        </w:rPr>
        <w:t>2016年12月，根据国家规划和省有关文件精神</w:t>
      </w:r>
      <w:r>
        <w:rPr>
          <w:rFonts w:ascii="仿宋_GB2312" w:eastAsia="仿宋_GB2312" w:hAnsiTheme="minorEastAsia"/>
          <w:sz w:val="32"/>
          <w:szCs w:val="32"/>
        </w:rPr>
        <w:t>，</w:t>
      </w:r>
      <w:r>
        <w:rPr>
          <w:rFonts w:hint="eastAsia" w:ascii="仿宋_GB2312" w:eastAsia="仿宋_GB2312" w:hAnsiTheme="minorEastAsia"/>
          <w:sz w:val="32"/>
          <w:szCs w:val="32"/>
        </w:rPr>
        <w:t>湖南省发展和改革委员会印发。</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（3）《湖南省农产品冷链物流三年实施计划（2015—2017年）》。</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（4）《湖南省物流业降本增效专项行动方案（2017-2020年）》，</w:t>
      </w:r>
      <w:r>
        <w:rPr>
          <w:rFonts w:hint="eastAsia" w:ascii="仿宋_GB2312" w:eastAsia="仿宋_GB2312" w:hAnsiTheme="minorEastAsia"/>
          <w:sz w:val="32"/>
          <w:szCs w:val="32"/>
        </w:rPr>
        <w:t>2017年7月，湖南省政府办公厅以湘政办发〔2017〕37号文件转发实施。</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（5）《湖南省人民政府关于促进快递业发展的实施意见》。</w:t>
      </w:r>
      <w:r>
        <w:rPr>
          <w:rFonts w:hint="eastAsia" w:ascii="仿宋_GB2312" w:eastAsia="仿宋_GB2312" w:hAnsiTheme="minorEastAsia"/>
          <w:sz w:val="32"/>
          <w:szCs w:val="32"/>
        </w:rPr>
        <w:t>2017年，湖南省人民政府以湘政发[2017]14号印发。</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（6）《湖南省构建县乡村三级物流配送体系三年行动计划(2019-2021年)》，</w:t>
      </w:r>
      <w:r>
        <w:rPr>
          <w:rFonts w:ascii="仿宋_GB2312" w:eastAsia="仿宋_GB2312" w:hAnsiTheme="minorEastAsia"/>
          <w:sz w:val="32"/>
          <w:szCs w:val="32"/>
        </w:rPr>
        <w:t>经省人民政府同意，</w:t>
      </w:r>
      <w:r>
        <w:rPr>
          <w:rFonts w:hint="eastAsia" w:ascii="仿宋_GB2312" w:eastAsia="仿宋_GB2312" w:hAnsiTheme="minorEastAsia"/>
          <w:sz w:val="32"/>
          <w:szCs w:val="32"/>
        </w:rPr>
        <w:t>省发展改革委于2018年12月以</w:t>
      </w:r>
      <w:bookmarkStart w:id="46" w:name="FlFwzh"/>
      <w:r>
        <w:rPr>
          <w:rFonts w:ascii="仿宋_GB2312" w:eastAsia="仿宋_GB2312" w:hAnsiTheme="minorEastAsia"/>
          <w:sz w:val="32"/>
          <w:szCs w:val="32"/>
        </w:rPr>
        <w:t>湘发改经贸〔2018〕1057号</w:t>
      </w:r>
      <w:bookmarkEnd w:id="46"/>
      <w:r>
        <w:rPr>
          <w:rFonts w:hint="eastAsia" w:ascii="仿宋_GB2312" w:eastAsia="仿宋_GB2312" w:hAnsiTheme="minorEastAsia"/>
          <w:sz w:val="32"/>
          <w:szCs w:val="32"/>
        </w:rPr>
        <w:t>文印发实施。</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（7）《湖南省推进道路运输结构调整三年行动计划实施方案》</w:t>
      </w:r>
      <w:r>
        <w:rPr>
          <w:rFonts w:hint="eastAsia" w:ascii="仿宋_GB2312" w:eastAsia="仿宋_GB2312" w:hAnsiTheme="minorEastAsia"/>
          <w:sz w:val="32"/>
          <w:szCs w:val="32"/>
        </w:rPr>
        <w:t>，2019年1月湖南省人民政府以湘政办发[2019]5号文件印发实施。</w:t>
      </w:r>
    </w:p>
    <w:p>
      <w:pPr>
        <w:pStyle w:val="3"/>
        <w:rPr>
          <w:rFonts w:ascii="楷体" w:hAnsi="楷体" w:eastAsia="楷体"/>
        </w:rPr>
      </w:pPr>
      <w:bookmarkStart w:id="47" w:name="_Toc7300007"/>
      <w:bookmarkStart w:id="48" w:name="_Toc7300065"/>
      <w:r>
        <w:rPr>
          <w:rFonts w:hint="eastAsia" w:ascii="楷体" w:hAnsi="楷体" w:eastAsia="楷体"/>
        </w:rPr>
        <w:t>2.5物流业发展特点</w:t>
      </w:r>
      <w:bookmarkEnd w:id="45"/>
      <w:bookmarkEnd w:id="47"/>
      <w:bookmarkEnd w:id="48"/>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近年来，湖南省物流业运行总体平稳，主要经济指标处于合理增长区间，呈现出稳中有进、稳中向好、稳中趋优的发展态势，正朝着高质量发展方向迈进。</w:t>
      </w:r>
    </w:p>
    <w:p>
      <w:pPr>
        <w:pStyle w:val="4"/>
        <w:rPr>
          <w:rFonts w:ascii="仿宋_GB2312" w:eastAsia="仿宋_GB2312" w:hAnsiTheme="minorEastAsia"/>
          <w:b w:val="0"/>
        </w:rPr>
      </w:pPr>
      <w:bookmarkStart w:id="49" w:name="_Toc7300008"/>
      <w:r>
        <w:rPr>
          <w:rFonts w:hint="eastAsia" w:ascii="仿宋_GB2312" w:eastAsia="仿宋_GB2312" w:cs="Times New Roman" w:hAnsiTheme="minorEastAsia"/>
          <w:bCs w:val="0"/>
        </w:rPr>
        <w:t>2.</w:t>
      </w:r>
      <w:r>
        <w:rPr>
          <w:rFonts w:ascii="仿宋_GB2312" w:eastAsia="仿宋_GB2312" w:cs="Times New Roman" w:hAnsiTheme="minorEastAsia"/>
          <w:bCs w:val="0"/>
        </w:rPr>
        <w:t>5</w:t>
      </w:r>
      <w:r>
        <w:rPr>
          <w:rFonts w:hint="eastAsia" w:ascii="仿宋_GB2312" w:eastAsia="仿宋_GB2312" w:cs="Times New Roman" w:hAnsiTheme="minorEastAsia"/>
          <w:bCs w:val="0"/>
        </w:rPr>
        <w:t>.1</w:t>
      </w:r>
      <w:r>
        <w:rPr>
          <w:rFonts w:ascii="仿宋_GB2312" w:eastAsia="仿宋_GB2312" w:cs="Times New Roman" w:hAnsiTheme="minorEastAsia"/>
          <w:bCs w:val="0"/>
        </w:rPr>
        <w:t>物流业处于创新发展的新阶段</w:t>
      </w:r>
      <w:bookmarkEnd w:id="49"/>
    </w:p>
    <w:p>
      <w:pPr>
        <w:pStyle w:val="6"/>
        <w:adjustRightInd w:val="0"/>
        <w:snapToGrid w:val="0"/>
        <w:spacing w:line="60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改革开放40年来，湖南物流实现了向高速扩张的跨越式发展，当前</w:t>
      </w:r>
      <w:r>
        <w:rPr>
          <w:rFonts w:hint="eastAsia" w:ascii="仿宋_GB2312" w:eastAsia="仿宋_GB2312" w:hAnsiTheme="minorEastAsia"/>
          <w:sz w:val="32"/>
          <w:szCs w:val="32"/>
        </w:rPr>
        <w:t>，湖南省政府</w:t>
      </w:r>
      <w:r>
        <w:rPr>
          <w:rFonts w:ascii="仿宋_GB2312" w:eastAsia="仿宋_GB2312" w:hAnsiTheme="minorEastAsia"/>
          <w:sz w:val="32"/>
          <w:szCs w:val="32"/>
        </w:rPr>
        <w:t>以供给侧结构性改革为主线，以高质量发展为目标，抓规划引领、政策引导、重大项目，积极推动现代物流业发展</w:t>
      </w:r>
      <w:r>
        <w:rPr>
          <w:rFonts w:hint="eastAsia" w:ascii="仿宋_GB2312" w:eastAsia="仿宋_GB2312" w:hAnsiTheme="minorEastAsia"/>
          <w:sz w:val="32"/>
          <w:szCs w:val="32"/>
        </w:rPr>
        <w:t>，</w:t>
      </w:r>
      <w:r>
        <w:rPr>
          <w:rFonts w:ascii="仿宋_GB2312" w:eastAsia="仿宋_GB2312" w:hAnsiTheme="minorEastAsia"/>
          <w:sz w:val="32"/>
          <w:szCs w:val="32"/>
        </w:rPr>
        <w:t>湖南物流业处于创新发展的新阶段</w:t>
      </w:r>
      <w:r>
        <w:rPr>
          <w:rFonts w:hint="eastAsia" w:ascii="仿宋_GB2312" w:eastAsia="仿宋_GB2312" w:hAnsiTheme="minorEastAsia"/>
          <w:sz w:val="32"/>
          <w:szCs w:val="32"/>
        </w:rPr>
        <w:t>。</w:t>
      </w:r>
      <w:r>
        <w:rPr>
          <w:rFonts w:ascii="仿宋_GB2312" w:eastAsia="仿宋_GB2312" w:hAnsiTheme="minorEastAsia"/>
          <w:sz w:val="32"/>
          <w:szCs w:val="32"/>
        </w:rPr>
        <w:t>目前，湖南已明确“一核三区多园六通道”的物流空间布局，全省社会物流总费用与GDP的比率逐年下降，降本增效初见成效。近三年来，累计争取各类资金近20亿元，实施了物流转型升级、粮食物流、冷链物流等一批重点项目，推动了长沙金霞物流园、岳阳城陵矶新港等一批试点示范工程。湖南的交通与物流、基础设施建设开始融为一体，物流枢纽建设布局成为构建现代物流体系的重要抓手；供应链管理、创新与应用成为多业融合的主要形式；科技创新已经成为行业转型升级的重要手段。</w:t>
      </w:r>
    </w:p>
    <w:p>
      <w:pPr>
        <w:pStyle w:val="4"/>
        <w:rPr>
          <w:rFonts w:ascii="仿宋_GB2312" w:eastAsia="仿宋_GB2312" w:hAnsiTheme="minorEastAsia"/>
          <w:b w:val="0"/>
        </w:rPr>
      </w:pPr>
      <w:bookmarkStart w:id="50" w:name="_Toc7300009"/>
      <w:r>
        <w:rPr>
          <w:rFonts w:hint="eastAsia" w:ascii="仿宋_GB2312" w:eastAsia="仿宋_GB2312" w:cs="Times New Roman" w:hAnsiTheme="minorEastAsia"/>
          <w:bCs w:val="0"/>
        </w:rPr>
        <w:t>2</w:t>
      </w:r>
      <w:r>
        <w:rPr>
          <w:rFonts w:ascii="仿宋_GB2312" w:eastAsia="仿宋_GB2312" w:cs="Times New Roman" w:hAnsiTheme="minorEastAsia"/>
          <w:bCs w:val="0"/>
        </w:rPr>
        <w:t>.5.2</w:t>
      </w:r>
      <w:r>
        <w:rPr>
          <w:rFonts w:hint="eastAsia" w:ascii="仿宋_GB2312" w:eastAsia="仿宋_GB2312" w:cs="Times New Roman" w:hAnsiTheme="minorEastAsia"/>
          <w:bCs w:val="0"/>
        </w:rPr>
        <w:t>全省物流降本增效初见成效</w:t>
      </w:r>
      <w:bookmarkEnd w:id="50"/>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在《物流业降本增效专项行动方案（2</w:t>
      </w:r>
      <w:r>
        <w:rPr>
          <w:rFonts w:ascii="仿宋_GB2312" w:eastAsia="仿宋_GB2312" w:hAnsiTheme="minorEastAsia"/>
          <w:sz w:val="32"/>
          <w:szCs w:val="32"/>
        </w:rPr>
        <w:t>016</w:t>
      </w:r>
      <w:r>
        <w:rPr>
          <w:rFonts w:hint="eastAsia" w:ascii="仿宋_GB2312" w:eastAsia="仿宋_GB2312" w:hAnsiTheme="minorEastAsia"/>
          <w:sz w:val="32"/>
          <w:szCs w:val="32"/>
        </w:rPr>
        <w:t>—</w:t>
      </w:r>
      <w:r>
        <w:rPr>
          <w:rFonts w:ascii="仿宋_GB2312" w:eastAsia="仿宋_GB2312" w:hAnsiTheme="minorEastAsia"/>
          <w:sz w:val="32"/>
          <w:szCs w:val="32"/>
        </w:rPr>
        <w:t>2018</w:t>
      </w:r>
      <w:r>
        <w:rPr>
          <w:rFonts w:hint="eastAsia" w:ascii="仿宋_GB2312" w:eastAsia="仿宋_GB2312" w:hAnsiTheme="minorEastAsia"/>
          <w:sz w:val="32"/>
          <w:szCs w:val="32"/>
        </w:rPr>
        <w:t>年）》（国办发〔2</w:t>
      </w:r>
      <w:r>
        <w:rPr>
          <w:rFonts w:ascii="仿宋_GB2312" w:eastAsia="仿宋_GB2312" w:hAnsiTheme="minorEastAsia"/>
          <w:sz w:val="32"/>
          <w:szCs w:val="32"/>
        </w:rPr>
        <w:t>016</w:t>
      </w:r>
      <w:r>
        <w:rPr>
          <w:rFonts w:hint="eastAsia" w:ascii="仿宋_GB2312" w:eastAsia="仿宋_GB2312" w:hAnsiTheme="minorEastAsia"/>
          <w:sz w:val="32"/>
          <w:szCs w:val="32"/>
        </w:rPr>
        <w:t>〕6</w:t>
      </w:r>
      <w:r>
        <w:rPr>
          <w:rFonts w:ascii="仿宋_GB2312" w:eastAsia="仿宋_GB2312" w:hAnsiTheme="minorEastAsia"/>
          <w:sz w:val="32"/>
          <w:szCs w:val="32"/>
        </w:rPr>
        <w:t>9</w:t>
      </w:r>
      <w:r>
        <w:rPr>
          <w:rFonts w:hint="eastAsia" w:ascii="仿宋_GB2312" w:eastAsia="仿宋_GB2312" w:hAnsiTheme="minorEastAsia"/>
          <w:sz w:val="32"/>
          <w:szCs w:val="32"/>
        </w:rPr>
        <w:t>号）、《关于进一步推进物流降本增效促进实体经济发展的意见》（国办发〔2</w:t>
      </w:r>
      <w:r>
        <w:rPr>
          <w:rFonts w:ascii="仿宋_GB2312" w:eastAsia="仿宋_GB2312" w:hAnsiTheme="minorEastAsia"/>
          <w:sz w:val="32"/>
          <w:szCs w:val="32"/>
        </w:rPr>
        <w:t>017</w:t>
      </w:r>
      <w:r>
        <w:rPr>
          <w:rFonts w:hint="eastAsia" w:ascii="仿宋_GB2312" w:eastAsia="仿宋_GB2312" w:hAnsiTheme="minorEastAsia"/>
          <w:sz w:val="32"/>
          <w:szCs w:val="32"/>
        </w:rPr>
        <w:t>〕</w:t>
      </w:r>
      <w:r>
        <w:rPr>
          <w:rFonts w:ascii="仿宋_GB2312" w:eastAsia="仿宋_GB2312" w:hAnsiTheme="minorEastAsia"/>
          <w:sz w:val="32"/>
          <w:szCs w:val="32"/>
        </w:rPr>
        <w:t>73</w:t>
      </w:r>
      <w:r>
        <w:rPr>
          <w:rFonts w:hint="eastAsia" w:ascii="仿宋_GB2312" w:eastAsia="仿宋_GB2312" w:hAnsiTheme="minorEastAsia"/>
          <w:sz w:val="32"/>
          <w:szCs w:val="32"/>
        </w:rPr>
        <w:t>号）等重要政策文件的基础上，湖南省物流业降本增效取得了初步成效。</w:t>
      </w:r>
      <w:r>
        <w:rPr>
          <w:rFonts w:hint="eastAsia" w:ascii="仿宋_GB2312" w:eastAsia="仿宋_GB2312"/>
          <w:sz w:val="32"/>
          <w:szCs w:val="32"/>
        </w:rPr>
        <w:t>统计数据显示，2018年湖南全省物流规模平稳增长，物流收入大幅增加、费用水平持续下降，呈现出“两增一降”的发展趋势。2018年，全省社会物流总额为108576.2亿元，按可比价格计算，比上年度增长8%，高于全国平均水平1.5个百分点；社会物流总费用为5551.8亿元，同比增长4.78%，增幅低于全国平均水平。社会物流总费用与GDP的比率为15.2%，比上年度下降0.1个百分点；物流业总收入为3572.7亿元，比上年度增长8.5%。样本企业和重点企业汇总的数据显示，60%的企业经营盈利，比上年增加10个百分点，25%的企业收支持平，比上年增加5个百分点，15%的企业处于亏损状态，比上年减少5个百分点。</w:t>
      </w:r>
    </w:p>
    <w:p>
      <w:pPr>
        <w:pStyle w:val="4"/>
        <w:rPr>
          <w:rFonts w:ascii="仿宋_GB2312" w:eastAsia="仿宋_GB2312" w:cs="Times New Roman" w:hAnsiTheme="minorEastAsia"/>
          <w:bCs w:val="0"/>
        </w:rPr>
      </w:pPr>
      <w:bookmarkStart w:id="51" w:name="_Toc7300010"/>
      <w:r>
        <w:rPr>
          <w:rFonts w:hint="eastAsia" w:ascii="仿宋_GB2312" w:eastAsia="仿宋_GB2312" w:cs="Times New Roman" w:hAnsiTheme="minorEastAsia"/>
          <w:bCs w:val="0"/>
        </w:rPr>
        <w:t>2</w:t>
      </w:r>
      <w:r>
        <w:rPr>
          <w:rFonts w:ascii="仿宋_GB2312" w:eastAsia="仿宋_GB2312" w:cs="Times New Roman" w:hAnsiTheme="minorEastAsia"/>
          <w:bCs w:val="0"/>
        </w:rPr>
        <w:t>.5.3</w:t>
      </w:r>
      <w:r>
        <w:rPr>
          <w:rFonts w:hint="eastAsia" w:ascii="仿宋_GB2312" w:eastAsia="仿宋_GB2312" w:cs="Times New Roman" w:hAnsiTheme="minorEastAsia"/>
          <w:bCs w:val="0"/>
        </w:rPr>
        <w:t>政府高度重视物流业发展</w:t>
      </w:r>
      <w:bookmarkEnd w:id="51"/>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为了更好推动湖南省物流业的发展，落实中央关于物流业降本增效、促进实体经济发展精神，湖南省省委、省政府高度重视，</w:t>
      </w:r>
      <w:r>
        <w:rPr>
          <w:rFonts w:ascii="仿宋_GB2312" w:eastAsia="仿宋_GB2312" w:hAnsiTheme="minorEastAsia"/>
          <w:sz w:val="32"/>
          <w:szCs w:val="32"/>
        </w:rPr>
        <w:t>省发改</w:t>
      </w:r>
      <w:r>
        <w:rPr>
          <w:rFonts w:hint="eastAsia" w:ascii="仿宋_GB2312" w:eastAsia="仿宋_GB2312" w:hAnsiTheme="minorEastAsia"/>
          <w:sz w:val="32"/>
          <w:szCs w:val="32"/>
        </w:rPr>
        <w:t>、</w:t>
      </w:r>
      <w:r>
        <w:rPr>
          <w:rFonts w:ascii="仿宋_GB2312" w:eastAsia="仿宋_GB2312" w:hAnsiTheme="minorEastAsia"/>
          <w:sz w:val="32"/>
          <w:szCs w:val="32"/>
        </w:rPr>
        <w:t>交通、商务、工信、财政等</w:t>
      </w:r>
      <w:r>
        <w:rPr>
          <w:rFonts w:hint="eastAsia" w:ascii="仿宋_GB2312" w:eastAsia="仿宋_GB2312" w:hAnsiTheme="minorEastAsia"/>
          <w:sz w:val="32"/>
          <w:szCs w:val="32"/>
        </w:rPr>
        <w:t>多</w:t>
      </w:r>
      <w:r>
        <w:rPr>
          <w:rFonts w:ascii="仿宋_GB2312" w:eastAsia="仿宋_GB2312" w:hAnsiTheme="minorEastAsia"/>
          <w:sz w:val="32"/>
          <w:szCs w:val="32"/>
        </w:rPr>
        <w:t>部门</w:t>
      </w:r>
      <w:r>
        <w:rPr>
          <w:rFonts w:hint="eastAsia" w:ascii="仿宋_GB2312" w:eastAsia="仿宋_GB2312" w:hAnsiTheme="minorEastAsia"/>
          <w:sz w:val="32"/>
          <w:szCs w:val="32"/>
        </w:rPr>
        <w:t>一同</w:t>
      </w:r>
      <w:r>
        <w:rPr>
          <w:rFonts w:ascii="仿宋_GB2312" w:eastAsia="仿宋_GB2312" w:hAnsiTheme="minorEastAsia"/>
          <w:sz w:val="32"/>
          <w:szCs w:val="32"/>
        </w:rPr>
        <w:t>以供给侧结构性改革为主线，以高质量发展为目标，</w:t>
      </w:r>
      <w:r>
        <w:rPr>
          <w:rFonts w:hint="eastAsia" w:ascii="仿宋_GB2312" w:eastAsia="仿宋_GB2312" w:hAnsiTheme="minorEastAsia"/>
          <w:sz w:val="32"/>
          <w:szCs w:val="32"/>
        </w:rPr>
        <w:t>通过</w:t>
      </w:r>
      <w:r>
        <w:rPr>
          <w:rFonts w:ascii="仿宋_GB2312" w:eastAsia="仿宋_GB2312" w:hAnsiTheme="minorEastAsia"/>
          <w:sz w:val="32"/>
          <w:szCs w:val="32"/>
        </w:rPr>
        <w:t>规划引领、政策引导、重大项目</w:t>
      </w:r>
      <w:r>
        <w:rPr>
          <w:rFonts w:hint="eastAsia" w:ascii="仿宋_GB2312" w:eastAsia="仿宋_GB2312" w:hAnsiTheme="minorEastAsia"/>
          <w:sz w:val="32"/>
          <w:szCs w:val="32"/>
        </w:rPr>
        <w:t>等方式</w:t>
      </w:r>
      <w:r>
        <w:rPr>
          <w:rFonts w:ascii="仿宋_GB2312" w:eastAsia="仿宋_GB2312" w:hAnsiTheme="minorEastAsia"/>
          <w:sz w:val="32"/>
          <w:szCs w:val="32"/>
        </w:rPr>
        <w:t>，积极推动现代物流业发展</w:t>
      </w:r>
      <w:r>
        <w:rPr>
          <w:rFonts w:hint="eastAsia" w:ascii="仿宋_GB2312" w:eastAsia="仿宋_GB2312" w:hAnsiTheme="minorEastAsia"/>
          <w:sz w:val="32"/>
          <w:szCs w:val="32"/>
        </w:rPr>
        <w:t>，先后出台了《湖南省现代物流业发展三年行动计划（2015-2017年）》、《</w:t>
      </w:r>
      <w:r>
        <w:rPr>
          <w:rFonts w:ascii="仿宋_GB2312" w:eastAsia="仿宋_GB2312" w:hAnsiTheme="minorEastAsia"/>
          <w:sz w:val="32"/>
          <w:szCs w:val="32"/>
        </w:rPr>
        <w:t>湖南省“十三五”物流业发展规划</w:t>
      </w:r>
      <w:r>
        <w:rPr>
          <w:rFonts w:hint="eastAsia" w:ascii="仿宋_GB2312" w:eastAsia="仿宋_GB2312" w:hAnsiTheme="minorEastAsia"/>
          <w:sz w:val="32"/>
          <w:szCs w:val="32"/>
        </w:rPr>
        <w:t>》、《湖南省物流业降本增效专项行动方案（2017-2020年）》等一系列相关规划和文件，对全省物流业发展做出了全面部署，引起了各级的重视和社会的关注，同时明确提出以提高物流效率、降低物流成本、实现可持续发展为重点，以供给侧结构性改革和互联网+高效物流创新为动力，加大补短板力度，全面提升湖南省物流业专业化、社会化和信息化水平，从而实现湖南物流业跨越式发展，并在此基础上提出了阶段目标、重点任务、落实了相关部门责任分解，为湖南物流业发展奠定了良好的政策环境。此外，在明确责任的基础上，相关责任部门主动作为，如将货运车辆两检合一、规范公路货运执法、取消运营车辆二级维护强制性检测、跨省大件运输并联许可全国联网、快递企业分支机构和末端网点备案手续简化等工作开始全面推开、通关一体化效率得到了大幅提升。</w:t>
      </w:r>
    </w:p>
    <w:p>
      <w:pPr>
        <w:pStyle w:val="4"/>
        <w:rPr>
          <w:rFonts w:ascii="仿宋_GB2312" w:eastAsia="仿宋_GB2312" w:cs="Times New Roman" w:hAnsiTheme="minorEastAsia"/>
          <w:bCs w:val="0"/>
        </w:rPr>
      </w:pPr>
      <w:bookmarkStart w:id="52" w:name="_Toc7300011"/>
      <w:r>
        <w:rPr>
          <w:rFonts w:hint="eastAsia" w:ascii="仿宋_GB2312" w:eastAsia="仿宋_GB2312" w:cs="Times New Roman" w:hAnsiTheme="minorEastAsia"/>
          <w:bCs w:val="0"/>
        </w:rPr>
        <w:t>2.</w:t>
      </w:r>
      <w:r>
        <w:rPr>
          <w:rFonts w:ascii="仿宋_GB2312" w:eastAsia="仿宋_GB2312" w:cs="Times New Roman" w:hAnsiTheme="minorEastAsia"/>
          <w:bCs w:val="0"/>
        </w:rPr>
        <w:t>5.4</w:t>
      </w:r>
      <w:r>
        <w:rPr>
          <w:rFonts w:hint="eastAsia" w:ascii="仿宋_GB2312" w:eastAsia="仿宋_GB2312" w:cs="Times New Roman" w:hAnsiTheme="minorEastAsia"/>
          <w:bCs w:val="0"/>
        </w:rPr>
        <w:t>物流企业转型升级进程明显加快</w:t>
      </w:r>
      <w:bookmarkEnd w:id="52"/>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随着企业组织形态变革，资产重组、联盟合作、经营创新、产业集群、品牌建设等改革创新力度的加大，企业组织集中度、业务经营集约化、管理规范化水平明显提升。特别是企业组织结构长期存在的“多而不大，大而不强”的格局逐步发生变化，“品牌兴企”逐步成为企业的自觉行动。一批实力雄厚、模式先进、行业领先的企业正在成长。</w:t>
      </w:r>
    </w:p>
    <w:p>
      <w:pPr>
        <w:pStyle w:val="4"/>
        <w:rPr>
          <w:rFonts w:ascii="仿宋_GB2312" w:eastAsia="仿宋_GB2312" w:cs="Times New Roman" w:hAnsiTheme="minorEastAsia"/>
          <w:bCs w:val="0"/>
        </w:rPr>
      </w:pPr>
      <w:bookmarkStart w:id="53" w:name="_Toc7300012"/>
      <w:r>
        <w:rPr>
          <w:rFonts w:hint="eastAsia" w:ascii="仿宋_GB2312" w:eastAsia="仿宋_GB2312" w:cs="Times New Roman" w:hAnsiTheme="minorEastAsia"/>
          <w:bCs w:val="0"/>
        </w:rPr>
        <w:t>2</w:t>
      </w:r>
      <w:r>
        <w:rPr>
          <w:rFonts w:ascii="仿宋_GB2312" w:eastAsia="仿宋_GB2312" w:cs="Times New Roman" w:hAnsiTheme="minorEastAsia"/>
          <w:bCs w:val="0"/>
        </w:rPr>
        <w:t>.5.5</w:t>
      </w:r>
      <w:r>
        <w:rPr>
          <w:rFonts w:hint="eastAsia" w:ascii="仿宋_GB2312" w:eastAsia="仿宋_GB2312" w:cs="Times New Roman" w:hAnsiTheme="minorEastAsia"/>
          <w:bCs w:val="0"/>
        </w:rPr>
        <w:t>物流网络基本成形</w:t>
      </w:r>
      <w:bookmarkEnd w:id="53"/>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至2018年底，湖南全省公路总里程达到240059.8公里，内河航道总里程11967.7公里，基本形成了陆路通、空运快、水运畅的综合交通运输格局，同时，各地普遍重视交通运输通道建设与物流园区、枢纽站场、港口码头、分拨配送中心等物流网络节点有效对接，着力解决“最后一公里”、“肠梗阻”微循环问题。</w:t>
      </w:r>
    </w:p>
    <w:p>
      <w:pPr>
        <w:pStyle w:val="4"/>
        <w:rPr>
          <w:rFonts w:ascii="仿宋_GB2312" w:eastAsia="仿宋_GB2312" w:cs="Times New Roman" w:hAnsiTheme="minorEastAsia"/>
          <w:bCs w:val="0"/>
        </w:rPr>
      </w:pPr>
      <w:bookmarkStart w:id="54" w:name="_Toc7300013"/>
      <w:r>
        <w:rPr>
          <w:rFonts w:hint="eastAsia" w:ascii="仿宋_GB2312" w:eastAsia="仿宋_GB2312" w:cs="Times New Roman" w:hAnsiTheme="minorEastAsia"/>
          <w:bCs w:val="0"/>
        </w:rPr>
        <w:t>2.</w:t>
      </w:r>
      <w:r>
        <w:rPr>
          <w:rFonts w:ascii="仿宋_GB2312" w:eastAsia="仿宋_GB2312" w:cs="Times New Roman" w:hAnsiTheme="minorEastAsia"/>
          <w:bCs w:val="0"/>
        </w:rPr>
        <w:t>5.6</w:t>
      </w:r>
      <w:r>
        <w:rPr>
          <w:rFonts w:hint="eastAsia" w:ascii="仿宋_GB2312" w:eastAsia="仿宋_GB2312" w:cs="Times New Roman" w:hAnsiTheme="minorEastAsia"/>
          <w:bCs w:val="0"/>
        </w:rPr>
        <w:t>物流创新初见成效</w:t>
      </w:r>
      <w:bookmarkEnd w:id="54"/>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是智慧物流创新引领变革。物联网、云计算、大数据，人工智能等新一代信息技术加快在物流领域应用。以信息技术为支撑，“互联网＋”物流的创新商业模式改变传统产业发展方式。2018年，湖南省年省电子商务交易额首次突破一万亿元，同比增长27%。其中网络零售额达到2000亿元，同比增长30%；湖南全省快递业务量完成78932万件，同比增长33.37%。2018年湖南全省物流行业评选表彰的2</w:t>
      </w:r>
      <w:r>
        <w:rPr>
          <w:rFonts w:ascii="仿宋_GB2312" w:eastAsia="仿宋_GB2312" w:hAnsiTheme="minorEastAsia"/>
          <w:sz w:val="32"/>
          <w:szCs w:val="32"/>
        </w:rPr>
        <w:t>0</w:t>
      </w:r>
      <w:r>
        <w:rPr>
          <w:rFonts w:hint="eastAsia" w:ascii="仿宋_GB2312" w:eastAsia="仿宋_GB2312" w:hAnsiTheme="minorEastAsia"/>
          <w:sz w:val="32"/>
          <w:szCs w:val="32"/>
        </w:rPr>
        <w:t>个“湖南现代物流创新奖”，标志着全省物流创新已经初见成效。二是供应链物流创新释放新动能。一些优势物流企业，主动对接生产制造、商贸流通、农产品生产组织，着力打通物流各个环节，积极发挥供应链服务商“链主”作用，努力提高运作效率和经济效益。湖南省长沙、株州、衡阳三市，已列入国家</w:t>
      </w:r>
      <w:r>
        <w:rPr>
          <w:rFonts w:ascii="仿宋_GB2312" w:eastAsia="仿宋_GB2312" w:hAnsiTheme="minorEastAsia"/>
          <w:sz w:val="32"/>
          <w:szCs w:val="32"/>
        </w:rPr>
        <w:t>8</w:t>
      </w:r>
      <w:r>
        <w:rPr>
          <w:rFonts w:hint="eastAsia" w:ascii="仿宋_GB2312" w:eastAsia="仿宋_GB2312" w:hAnsiTheme="minorEastAsia"/>
          <w:sz w:val="32"/>
          <w:szCs w:val="32"/>
        </w:rPr>
        <w:t>部委供应链创新与应用试点城市，有望形成一批上下游协同、智能化连接的供应链示范企业。三是物流标准化带动效率效益的提升。2018年，一些企业主动转变观念，自觉推广应用已经出台的国家和行业相关标准，用标准化规范经营和管理。有的还制定了团体或企业标准，用以规范操作流程。变化最大的是常德、怀化两个国家标准化试点城市，托盘循环共用体系和主干网络初步形成，托盘标准化率明显高于全省其他市州，配套设施设备标准化改造加快升级，物流包装标准化水平明显加快。据50多个有试点项目的企业反映，试点前后相比装卸效率提高2-3倍，成本费用降低20%左右。</w:t>
      </w:r>
    </w:p>
    <w:p>
      <w:pPr>
        <w:pStyle w:val="4"/>
        <w:rPr>
          <w:rFonts w:ascii="仿宋_GB2312" w:eastAsia="仿宋_GB2312" w:cs="Times New Roman" w:hAnsiTheme="minorEastAsia"/>
          <w:bCs w:val="0"/>
        </w:rPr>
      </w:pPr>
      <w:bookmarkStart w:id="55" w:name="_Toc7300014"/>
      <w:r>
        <w:rPr>
          <w:rFonts w:hint="eastAsia" w:ascii="仿宋_GB2312" w:eastAsia="仿宋_GB2312" w:cs="Times New Roman" w:hAnsiTheme="minorEastAsia"/>
          <w:bCs w:val="0"/>
        </w:rPr>
        <w:t>2</w:t>
      </w:r>
      <w:r>
        <w:rPr>
          <w:rFonts w:ascii="仿宋_GB2312" w:eastAsia="仿宋_GB2312" w:cs="Times New Roman" w:hAnsiTheme="minorEastAsia"/>
          <w:bCs w:val="0"/>
        </w:rPr>
        <w:t>.5.7</w:t>
      </w:r>
      <w:r>
        <w:rPr>
          <w:rFonts w:hint="eastAsia" w:ascii="仿宋_GB2312" w:eastAsia="仿宋_GB2312" w:cs="Times New Roman" w:hAnsiTheme="minorEastAsia"/>
          <w:bCs w:val="0"/>
        </w:rPr>
        <w:t>国际物流发展条件明显改善</w:t>
      </w:r>
      <w:bookmarkEnd w:id="55"/>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2018年，湖南全省实施开放崛起五大行动，开放平台进一步夯实，国际物流更加畅通。长流黄花机场国际机场开通了36条国际航线，新开通的国际全货机航线畅通了外贸空中通道。岳阳城陵矶港，上通川渝，下达长江及沿海各主要港口，万吨巨轮可通达岳阳。长沙铁路货运中心长北货场，一列列“湘欧快线”班列满载电子产品、鞋服、五金等货物，运往欧洲、中亚、中东等区域。随着条件的改善，全省国际物流规模快速增长。2018年，全省进出口总值达3079.5亿元，同比增长26.5%，增速位列中部第一、全国第四。其中出口2026.7亿元，同比增长29.5%；进口1052.8亿元，同比增长17.6%。长沙黄花机场的国际货物邮吞吐量达3.1万吨，同比增长130%。湖南城陵矶国际港务集团完成集装箱吞吐量61.6万标箱，同比增长16.2%。</w:t>
      </w:r>
    </w:p>
    <w:p>
      <w:pPr>
        <w:pStyle w:val="3"/>
        <w:rPr>
          <w:rFonts w:ascii="楷体" w:hAnsi="楷体" w:eastAsia="楷体"/>
        </w:rPr>
      </w:pPr>
      <w:bookmarkStart w:id="140" w:name="_GoBack"/>
      <w:bookmarkEnd w:id="140"/>
      <w:bookmarkStart w:id="56" w:name="_Toc7300066"/>
      <w:bookmarkStart w:id="57" w:name="_Toc7300015"/>
      <w:r>
        <w:rPr>
          <w:rFonts w:ascii="楷体" w:hAnsi="楷体" w:eastAsia="楷体"/>
        </w:rPr>
        <w:t>2.6</w:t>
      </w:r>
      <w:r>
        <w:rPr>
          <w:rFonts w:hint="eastAsia" w:ascii="楷体" w:hAnsi="楷体" w:eastAsia="楷体"/>
        </w:rPr>
        <w:t>物流业</w:t>
      </w:r>
      <w:r>
        <w:rPr>
          <w:rFonts w:ascii="楷体" w:hAnsi="楷体" w:eastAsia="楷体"/>
        </w:rPr>
        <w:t>存在问题</w:t>
      </w:r>
      <w:r>
        <w:rPr>
          <w:rFonts w:hint="eastAsia" w:ascii="楷体" w:hAnsi="楷体" w:eastAsia="楷体"/>
        </w:rPr>
        <w:t>分析</w:t>
      </w:r>
      <w:bookmarkEnd w:id="56"/>
      <w:bookmarkEnd w:id="57"/>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目前我省企业在物流方面的诉求主要集中在税收负担、通行环境、土地、融资、用工、行政监督等六个方面。</w:t>
      </w:r>
    </w:p>
    <w:p>
      <w:pPr>
        <w:pStyle w:val="4"/>
        <w:rPr>
          <w:rFonts w:ascii="仿宋_GB2312" w:eastAsia="仿宋_GB2312" w:cs="Times New Roman" w:hAnsiTheme="minorEastAsia"/>
          <w:bCs w:val="0"/>
        </w:rPr>
      </w:pPr>
      <w:bookmarkStart w:id="58" w:name="_Toc7300016"/>
      <w:r>
        <w:rPr>
          <w:rFonts w:ascii="仿宋_GB2312" w:eastAsia="仿宋_GB2312" w:cs="Times New Roman" w:hAnsiTheme="minorEastAsia"/>
          <w:bCs w:val="0"/>
        </w:rPr>
        <w:t>2.6.1</w:t>
      </w:r>
      <w:r>
        <w:rPr>
          <w:rFonts w:hint="eastAsia" w:ascii="仿宋_GB2312" w:eastAsia="仿宋_GB2312" w:cs="Times New Roman" w:hAnsiTheme="minorEastAsia"/>
          <w:bCs w:val="0"/>
        </w:rPr>
        <w:t>税收负担较重</w:t>
      </w:r>
      <w:bookmarkEnd w:id="58"/>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“营改增”后行业税负增加。</w:t>
      </w:r>
      <w:r>
        <w:rPr>
          <w:rFonts w:hint="eastAsia" w:ascii="仿宋_GB2312" w:eastAsia="仿宋_GB2312" w:hAnsiTheme="minorEastAsia"/>
          <w:sz w:val="32"/>
          <w:szCs w:val="32"/>
        </w:rPr>
        <w:t>增值税换换抵扣的政策设计和行业长期存在的运行模式存在矛盾，路桥通行费、仓库租赁费难以全面纳入抵扣范围，个体司机异地开票不方便，导致物流企业进项抵扣不足，税负增加难以合理转嫁，“营改增”后税负实际反而增加了。</w:t>
      </w:r>
    </w:p>
    <w:p>
      <w:pPr>
        <w:pStyle w:val="4"/>
        <w:rPr>
          <w:rFonts w:ascii="仿宋_GB2312" w:eastAsia="仿宋_GB2312" w:cs="Times New Roman" w:hAnsiTheme="minorEastAsia"/>
          <w:bCs w:val="0"/>
        </w:rPr>
      </w:pPr>
      <w:bookmarkStart w:id="59" w:name="_Toc7300017"/>
      <w:r>
        <w:rPr>
          <w:rFonts w:ascii="仿宋_GB2312" w:eastAsia="仿宋_GB2312" w:cs="Times New Roman" w:hAnsiTheme="minorEastAsia"/>
          <w:bCs w:val="0"/>
        </w:rPr>
        <w:t>2.6.2</w:t>
      </w:r>
      <w:r>
        <w:rPr>
          <w:rFonts w:hint="eastAsia" w:ascii="仿宋_GB2312" w:eastAsia="仿宋_GB2312" w:cs="Times New Roman" w:hAnsiTheme="minorEastAsia"/>
          <w:bCs w:val="0"/>
        </w:rPr>
        <w:t>通行环境有待改善</w:t>
      </w:r>
      <w:bookmarkEnd w:id="59"/>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过路过桥费占比高。</w:t>
      </w:r>
      <w:r>
        <w:rPr>
          <w:rFonts w:hint="eastAsia" w:ascii="仿宋_GB2312" w:eastAsia="仿宋_GB2312" w:hAnsiTheme="minorEastAsia"/>
          <w:sz w:val="32"/>
          <w:szCs w:val="32"/>
        </w:rPr>
        <w:t>企业普遍反映，过路过桥费平均占运输成本的三成左右，且计重收费后通行效率降低，也导致货车ETC难以实现不停车收费。</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非标车占比过大。</w:t>
      </w:r>
      <w:r>
        <w:rPr>
          <w:rFonts w:hint="eastAsia" w:ascii="仿宋_GB2312" w:eastAsia="仿宋_GB2312" w:hAnsiTheme="minorEastAsia"/>
          <w:sz w:val="32"/>
          <w:szCs w:val="32"/>
        </w:rPr>
        <w:t>长途干线市场中存在大量17.5米非标低平板车，车辆运输车全行业存在违规现象，《道路车辆外廓尺寸、轴荷及质量限值》（GB1589-2016）实施后，企业对治超持续性、统一性存在疑虑。</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多头执法依然存在。</w:t>
      </w:r>
      <w:r>
        <w:rPr>
          <w:rFonts w:hint="eastAsia" w:ascii="仿宋_GB2312" w:eastAsia="仿宋_GB2312" w:hAnsiTheme="minorEastAsia"/>
          <w:sz w:val="32"/>
          <w:szCs w:val="32"/>
        </w:rPr>
        <w:t>交警、路政、运政执法存在交叉，对违法事实处罚标准不一且不互认，存在“重复罚款”。此外，“以罚代管”、“只罚不纠”依然存在，超载超限车辆罚款后可以继续上路，源头治理难以落实。</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城市限行问题突出。</w:t>
      </w:r>
      <w:r>
        <w:rPr>
          <w:rFonts w:hint="eastAsia" w:ascii="仿宋_GB2312" w:eastAsia="仿宋_GB2312" w:hAnsiTheme="minorEastAsia"/>
          <w:sz w:val="32"/>
          <w:szCs w:val="32"/>
        </w:rPr>
        <w:t>诸多城市采取了限制货运车辆进城的管制措施，由于限制区域较大、配送车辆通行证数量不足，大多数企业仍采用客车违规送货，且停车难、停车费高，“最后一公里”仍未畅通。</w:t>
      </w:r>
    </w:p>
    <w:p>
      <w:pPr>
        <w:pStyle w:val="4"/>
        <w:rPr>
          <w:rFonts w:ascii="仿宋_GB2312" w:eastAsia="仿宋_GB2312" w:hAnsiTheme="minorEastAsia"/>
        </w:rPr>
      </w:pPr>
      <w:bookmarkStart w:id="60" w:name="_Toc7300018"/>
      <w:r>
        <w:rPr>
          <w:rFonts w:ascii="仿宋_GB2312" w:eastAsia="仿宋_GB2312" w:cs="Times New Roman" w:hAnsiTheme="minorEastAsia"/>
          <w:bCs w:val="0"/>
        </w:rPr>
        <w:t>2.6.3</w:t>
      </w:r>
      <w:r>
        <w:rPr>
          <w:rFonts w:hint="eastAsia" w:ascii="仿宋_GB2312" w:eastAsia="仿宋_GB2312" w:cs="Times New Roman" w:hAnsiTheme="minorEastAsia"/>
          <w:bCs w:val="0"/>
        </w:rPr>
        <w:t>用地约束多</w:t>
      </w:r>
      <w:bookmarkEnd w:id="60"/>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用地价格持续上涨。</w:t>
      </w:r>
      <w:r>
        <w:rPr>
          <w:rFonts w:hint="eastAsia" w:ascii="仿宋_GB2312" w:eastAsia="仿宋_GB2312" w:hAnsiTheme="minorEastAsia"/>
          <w:sz w:val="32"/>
          <w:szCs w:val="32"/>
        </w:rPr>
        <w:t>近年来，</w:t>
      </w:r>
      <w:r>
        <w:rPr>
          <w:rFonts w:ascii="仿宋_GB2312" w:eastAsia="仿宋_GB2312" w:hAnsiTheme="minorEastAsia"/>
          <w:sz w:val="32"/>
          <w:szCs w:val="32"/>
        </w:rPr>
        <w:t>湖南省物流用地一直呈上涨趋势</w:t>
      </w:r>
      <w:r>
        <w:rPr>
          <w:rFonts w:hint="eastAsia" w:ascii="仿宋_GB2312" w:eastAsia="仿宋_GB2312" w:hAnsiTheme="minorEastAsia"/>
          <w:sz w:val="32"/>
          <w:szCs w:val="32"/>
        </w:rPr>
        <w:t>。</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物流企业“用地难”。</w:t>
      </w:r>
      <w:r>
        <w:rPr>
          <w:rFonts w:hint="eastAsia" w:ascii="仿宋_GB2312" w:eastAsia="仿宋_GB2312" w:hAnsiTheme="minorEastAsia"/>
          <w:sz w:val="32"/>
          <w:szCs w:val="32"/>
        </w:rPr>
        <w:t>物流用地没有单独的用地属性，用地规划往往没有纳入城市发展统一考虑，导致新增物流用地很难获得指标。即时获得土地指标，往往也有很多附加条件，如投资强度、税收贡献、容积率等，但物流企业很难满足要求。</w:t>
      </w:r>
    </w:p>
    <w:p>
      <w:pPr>
        <w:pStyle w:val="4"/>
        <w:rPr>
          <w:rFonts w:ascii="仿宋_GB2312" w:eastAsia="仿宋_GB2312" w:cs="Times New Roman" w:hAnsiTheme="minorEastAsia"/>
          <w:bCs w:val="0"/>
        </w:rPr>
      </w:pPr>
      <w:bookmarkStart w:id="61" w:name="_Toc7300019"/>
      <w:r>
        <w:rPr>
          <w:rFonts w:ascii="仿宋_GB2312" w:eastAsia="仿宋_GB2312" w:cs="Times New Roman" w:hAnsiTheme="minorEastAsia"/>
          <w:bCs w:val="0"/>
        </w:rPr>
        <w:t>2.6.4</w:t>
      </w:r>
      <w:r>
        <w:rPr>
          <w:rFonts w:hint="eastAsia" w:ascii="仿宋_GB2312" w:eastAsia="仿宋_GB2312" w:cs="Times New Roman" w:hAnsiTheme="minorEastAsia"/>
          <w:bCs w:val="0"/>
        </w:rPr>
        <w:t>融资成本大</w:t>
      </w:r>
      <w:bookmarkEnd w:id="61"/>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融资渠道单一。</w:t>
      </w:r>
      <w:r>
        <w:rPr>
          <w:rFonts w:hint="eastAsia" w:ascii="仿宋_GB2312" w:eastAsia="仿宋_GB2312" w:hAnsiTheme="minorEastAsia"/>
          <w:sz w:val="32"/>
          <w:szCs w:val="32"/>
        </w:rPr>
        <w:t>由于市场主体散小、可抵押物少、信用等级低、存贷挂钩等原因，物流企业融资渠道少，主要依靠银行贷款，且贷款申请难、贷款额度少。</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融资成本高。</w:t>
      </w:r>
      <w:r>
        <w:rPr>
          <w:rFonts w:hint="eastAsia" w:ascii="仿宋_GB2312" w:eastAsia="仿宋_GB2312" w:hAnsiTheme="minorEastAsia"/>
          <w:sz w:val="32"/>
          <w:szCs w:val="32"/>
        </w:rPr>
        <w:t>大部分物流企业难以获得银行贷款授信，一些企业不得不采用民间融资渠道。</w:t>
      </w:r>
    </w:p>
    <w:p>
      <w:pPr>
        <w:pStyle w:val="4"/>
        <w:rPr>
          <w:rFonts w:ascii="仿宋_GB2312" w:eastAsia="仿宋_GB2312" w:cs="Times New Roman" w:hAnsiTheme="minorEastAsia"/>
          <w:bCs w:val="0"/>
        </w:rPr>
      </w:pPr>
      <w:bookmarkStart w:id="62" w:name="_Toc7300020"/>
      <w:r>
        <w:rPr>
          <w:rFonts w:ascii="仿宋_GB2312" w:eastAsia="仿宋_GB2312" w:cs="Times New Roman" w:hAnsiTheme="minorEastAsia"/>
          <w:bCs w:val="0"/>
        </w:rPr>
        <w:t>2.6.5</w:t>
      </w:r>
      <w:r>
        <w:rPr>
          <w:rFonts w:hint="eastAsia" w:ascii="仿宋_GB2312" w:eastAsia="仿宋_GB2312" w:cs="Times New Roman" w:hAnsiTheme="minorEastAsia"/>
          <w:bCs w:val="0"/>
        </w:rPr>
        <w:t>用工成本高</w:t>
      </w:r>
      <w:bookmarkEnd w:id="62"/>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劳动力成本逐年推高。</w:t>
      </w:r>
      <w:r>
        <w:rPr>
          <w:rFonts w:hint="eastAsia" w:ascii="仿宋_GB2312" w:eastAsia="仿宋_GB2312" w:hAnsiTheme="minorEastAsia"/>
          <w:sz w:val="32"/>
          <w:szCs w:val="32"/>
        </w:rPr>
        <w:t>受劳动力紧缺和社会经济压力的双重影响，用工成本持续上涨。目前，企业普遍反映用工成本占主营业务收入已经达到了25%。</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物流企业“用工难”。</w:t>
      </w:r>
      <w:r>
        <w:rPr>
          <w:rFonts w:hint="eastAsia" w:ascii="仿宋_GB2312" w:eastAsia="仿宋_GB2312" w:hAnsiTheme="minorEastAsia"/>
          <w:sz w:val="32"/>
          <w:szCs w:val="32"/>
        </w:rPr>
        <w:t>大多数物流企业未形成完善的企业保障和社会福利制度，企业内部的培训、奖励和晋升机制也很欠缺，在品牌、核心价值、企业文化及凝聚力等方面的浸透也非常薄弱，“低收入、高强度”，造成“用工难”。</w:t>
      </w:r>
    </w:p>
    <w:p>
      <w:pPr>
        <w:pStyle w:val="4"/>
        <w:rPr>
          <w:rFonts w:ascii="仿宋_GB2312" w:eastAsia="仿宋_GB2312" w:cs="Times New Roman" w:hAnsiTheme="minorEastAsia"/>
          <w:bCs w:val="0"/>
        </w:rPr>
      </w:pPr>
      <w:bookmarkStart w:id="63" w:name="_Toc7300021"/>
      <w:r>
        <w:rPr>
          <w:rFonts w:ascii="仿宋_GB2312" w:eastAsia="仿宋_GB2312" w:cs="Times New Roman" w:hAnsiTheme="minorEastAsia"/>
          <w:bCs w:val="0"/>
        </w:rPr>
        <w:t>2.6.6</w:t>
      </w:r>
      <w:r>
        <w:rPr>
          <w:rFonts w:hint="eastAsia" w:ascii="仿宋_GB2312" w:eastAsia="仿宋_GB2312" w:cs="Times New Roman" w:hAnsiTheme="minorEastAsia"/>
          <w:bCs w:val="0"/>
        </w:rPr>
        <w:t>行政监管仍需改善</w:t>
      </w:r>
      <w:bookmarkEnd w:id="63"/>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行政审批仍需简化。</w:t>
      </w:r>
      <w:r>
        <w:rPr>
          <w:rFonts w:hint="eastAsia" w:ascii="仿宋_GB2312" w:eastAsia="仿宋_GB2312" w:hAnsiTheme="minorEastAsia"/>
          <w:sz w:val="32"/>
          <w:szCs w:val="32"/>
        </w:rPr>
        <w:t>相同审批事项存在不统一、程序不一致、材料不通用、系统不共享情况，往往需要企业多次报送。此外，非法人分支机构营业执照的办理在许多地方仍有障碍，企业不得不在各地设置独立核算的法人分支机构，增加了管理成本。</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政务信息公开有差距。</w:t>
      </w:r>
      <w:r>
        <w:rPr>
          <w:rFonts w:hint="eastAsia" w:ascii="仿宋_GB2312" w:eastAsia="仿宋_GB2312" w:hAnsiTheme="minorEastAsia"/>
          <w:sz w:val="32"/>
          <w:szCs w:val="32"/>
        </w:rPr>
        <w:t>我国交通运输物流公共信息平台建立后，政府信息逐步开放，但与企业期盼仍有差距，工商登记信息、道路运输经营许可、车辆营运许可、从业人员身份证信息、驾驶证信息、行驶证信息等企业所需信息往往难以获取，尤其是跨区域的信息。</w:t>
      </w:r>
    </w:p>
    <w:p>
      <w:pPr>
        <w:spacing w:line="360" w:lineRule="auto"/>
        <w:ind w:firstLine="560" w:firstLineChars="200"/>
        <w:jc w:val="left"/>
        <w:rPr>
          <w:rFonts w:asciiTheme="minorEastAsia" w:hAnsiTheme="minorEastAsia"/>
          <w:sz w:val="28"/>
          <w:szCs w:val="28"/>
        </w:rPr>
      </w:pPr>
    </w:p>
    <w:p>
      <w:pPr>
        <w:pStyle w:val="2"/>
        <w:sectPr>
          <w:pgSz w:w="11906" w:h="16838"/>
          <w:pgMar w:top="1440" w:right="1800" w:bottom="1440" w:left="1800" w:header="851" w:footer="992" w:gutter="0"/>
          <w:cols w:space="425" w:num="1"/>
          <w:docGrid w:type="lines" w:linePitch="312" w:charSpace="0"/>
        </w:sectPr>
      </w:pPr>
      <w:bookmarkStart w:id="64" w:name="_Toc4600197"/>
    </w:p>
    <w:p>
      <w:pPr>
        <w:pStyle w:val="2"/>
        <w:spacing w:line="600" w:lineRule="exact"/>
        <w:rPr>
          <w:rFonts w:ascii="黑体" w:hAnsi="黑体" w:eastAsia="黑体"/>
          <w:sz w:val="32"/>
        </w:rPr>
      </w:pPr>
      <w:bookmarkStart w:id="65" w:name="_Toc7300067"/>
      <w:bookmarkStart w:id="66" w:name="_Toc6551638"/>
      <w:bookmarkStart w:id="67" w:name="_Toc7300022"/>
      <w:r>
        <w:rPr>
          <w:rFonts w:hint="eastAsia" w:ascii="黑体" w:hAnsi="黑体" w:eastAsia="黑体"/>
          <w:sz w:val="32"/>
        </w:rPr>
        <w:t>3.总体目标和推进计划</w:t>
      </w:r>
      <w:bookmarkEnd w:id="64"/>
      <w:bookmarkEnd w:id="65"/>
      <w:bookmarkEnd w:id="66"/>
      <w:bookmarkEnd w:id="67"/>
    </w:p>
    <w:p>
      <w:pPr>
        <w:pStyle w:val="3"/>
      </w:pPr>
      <w:bookmarkStart w:id="68" w:name="_Toc7300023"/>
      <w:bookmarkStart w:id="69" w:name="_Toc6551639"/>
      <w:bookmarkStart w:id="70" w:name="_Toc7300068"/>
      <w:r>
        <w:rPr>
          <w:rFonts w:hint="eastAsia" w:ascii="楷体" w:hAnsi="楷体" w:eastAsia="楷体"/>
        </w:rPr>
        <w:t>3.1总体思路</w:t>
      </w:r>
      <w:bookmarkEnd w:id="68"/>
      <w:bookmarkEnd w:id="69"/>
      <w:bookmarkEnd w:id="70"/>
    </w:p>
    <w:p>
      <w:pPr>
        <w:pStyle w:val="4"/>
        <w:rPr>
          <w:rFonts w:ascii="仿宋_GB2312" w:eastAsia="仿宋_GB2312" w:cs="Times New Roman" w:hAnsiTheme="minorEastAsia"/>
          <w:bCs w:val="0"/>
        </w:rPr>
      </w:pPr>
      <w:bookmarkStart w:id="71" w:name="_Toc7300024"/>
      <w:r>
        <w:rPr>
          <w:rFonts w:hint="eastAsia" w:ascii="仿宋_GB2312" w:eastAsia="仿宋_GB2312" w:cs="Times New Roman" w:hAnsiTheme="minorEastAsia"/>
          <w:bCs w:val="0"/>
        </w:rPr>
        <w:t>3.1.1指导</w:t>
      </w:r>
      <w:r>
        <w:rPr>
          <w:rFonts w:ascii="仿宋_GB2312" w:eastAsia="仿宋_GB2312" w:cs="Times New Roman" w:hAnsiTheme="minorEastAsia"/>
          <w:bCs w:val="0"/>
        </w:rPr>
        <w:t>思想</w:t>
      </w:r>
      <w:bookmarkEnd w:id="71"/>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以</w:t>
      </w:r>
      <w:r>
        <w:rPr>
          <w:rFonts w:ascii="仿宋_GB2312" w:eastAsia="仿宋_GB2312" w:hAnsiTheme="minorEastAsia"/>
          <w:sz w:val="32"/>
          <w:szCs w:val="32"/>
        </w:rPr>
        <w:t>习近平新时代中国特色社会主义思想为指导</w:t>
      </w:r>
      <w:r>
        <w:rPr>
          <w:rFonts w:hint="eastAsia" w:ascii="仿宋_GB2312" w:eastAsia="仿宋_GB2312" w:hAnsiTheme="minorEastAsia"/>
          <w:sz w:val="32"/>
          <w:szCs w:val="32"/>
        </w:rPr>
        <w:t>,深入</w:t>
      </w:r>
      <w:r>
        <w:rPr>
          <w:rFonts w:ascii="仿宋_GB2312" w:eastAsia="仿宋_GB2312" w:hAnsiTheme="minorEastAsia"/>
          <w:sz w:val="32"/>
          <w:szCs w:val="32"/>
        </w:rPr>
        <w:t>贯彻党的十九大和十九届二中</w:t>
      </w:r>
      <w:r>
        <w:rPr>
          <w:rFonts w:hint="eastAsia" w:ascii="仿宋_GB2312" w:eastAsia="仿宋_GB2312" w:hAnsiTheme="minorEastAsia"/>
          <w:sz w:val="32"/>
          <w:szCs w:val="32"/>
        </w:rPr>
        <w:t>、</w:t>
      </w:r>
      <w:r>
        <w:rPr>
          <w:rFonts w:ascii="仿宋_GB2312" w:eastAsia="仿宋_GB2312" w:hAnsiTheme="minorEastAsia"/>
          <w:sz w:val="32"/>
          <w:szCs w:val="32"/>
        </w:rPr>
        <w:t>三</w:t>
      </w:r>
      <w:r>
        <w:rPr>
          <w:rFonts w:hint="eastAsia" w:ascii="仿宋_GB2312" w:eastAsia="仿宋_GB2312" w:hAnsiTheme="minorEastAsia"/>
          <w:sz w:val="32"/>
          <w:szCs w:val="32"/>
        </w:rPr>
        <w:t>中</w:t>
      </w:r>
      <w:r>
        <w:rPr>
          <w:rFonts w:ascii="仿宋_GB2312" w:eastAsia="仿宋_GB2312" w:hAnsiTheme="minorEastAsia"/>
          <w:sz w:val="32"/>
          <w:szCs w:val="32"/>
        </w:rPr>
        <w:t>全会精神和中央经济工作会议精神，按照高质量发展要求，</w:t>
      </w:r>
      <w:r>
        <w:rPr>
          <w:rFonts w:hint="eastAsia" w:ascii="仿宋_GB2312" w:eastAsia="仿宋_GB2312" w:hAnsiTheme="minorEastAsia"/>
          <w:sz w:val="32"/>
          <w:szCs w:val="32"/>
        </w:rPr>
        <w:t>坚持问题导向、系统思维和近远结合，“破难点</w:t>
      </w:r>
      <w:r>
        <w:rPr>
          <w:rFonts w:ascii="仿宋_GB2312" w:eastAsia="仿宋_GB2312" w:hAnsiTheme="minorEastAsia"/>
          <w:sz w:val="32"/>
          <w:szCs w:val="32"/>
        </w:rPr>
        <w:t>、通堵点、解痛点”</w:t>
      </w:r>
      <w:r>
        <w:rPr>
          <w:rFonts w:hint="eastAsia" w:ascii="仿宋_GB2312" w:eastAsia="仿宋_GB2312" w:hAnsiTheme="minorEastAsia"/>
          <w:sz w:val="32"/>
          <w:szCs w:val="32"/>
        </w:rPr>
        <w:t>，围绕“结构性</w:t>
      </w:r>
      <w:r>
        <w:rPr>
          <w:rFonts w:ascii="仿宋_GB2312" w:eastAsia="仿宋_GB2312" w:hAnsiTheme="minorEastAsia"/>
          <w:sz w:val="32"/>
          <w:szCs w:val="32"/>
        </w:rPr>
        <w:t>、制度性、技术性、管理性</w:t>
      </w:r>
      <w:r>
        <w:rPr>
          <w:rFonts w:hint="eastAsia" w:ascii="仿宋_GB2312" w:eastAsia="仿宋_GB2312" w:hAnsiTheme="minorEastAsia"/>
          <w:sz w:val="32"/>
          <w:szCs w:val="32"/>
        </w:rPr>
        <w:t>”降本增效</w:t>
      </w:r>
      <w:r>
        <w:rPr>
          <w:rFonts w:ascii="仿宋_GB2312" w:eastAsia="仿宋_GB2312" w:hAnsiTheme="minorEastAsia"/>
          <w:sz w:val="32"/>
          <w:szCs w:val="32"/>
        </w:rPr>
        <w:t>四个维度，</w:t>
      </w:r>
      <w:r>
        <w:rPr>
          <w:rFonts w:hint="eastAsia" w:ascii="仿宋_GB2312" w:eastAsia="仿宋_GB2312" w:hAnsiTheme="minorEastAsia"/>
          <w:sz w:val="32"/>
          <w:szCs w:val="32"/>
        </w:rPr>
        <w:t>以</w:t>
      </w:r>
      <w:r>
        <w:rPr>
          <w:rFonts w:ascii="仿宋_GB2312" w:eastAsia="仿宋_GB2312" w:hAnsiTheme="minorEastAsia"/>
          <w:sz w:val="32"/>
          <w:szCs w:val="32"/>
        </w:rPr>
        <w:t>优化运输结构、深化</w:t>
      </w:r>
      <w:r>
        <w:rPr>
          <w:rFonts w:hint="eastAsia" w:ascii="仿宋_GB2312" w:eastAsia="仿宋_GB2312" w:hAnsiTheme="minorEastAsia"/>
          <w:sz w:val="32"/>
          <w:szCs w:val="32"/>
        </w:rPr>
        <w:t>“</w:t>
      </w:r>
      <w:r>
        <w:rPr>
          <w:rFonts w:ascii="仿宋_GB2312" w:eastAsia="仿宋_GB2312" w:hAnsiTheme="minorEastAsia"/>
          <w:sz w:val="32"/>
          <w:szCs w:val="32"/>
        </w:rPr>
        <w:t>放管服</w:t>
      </w:r>
      <w:r>
        <w:rPr>
          <w:rFonts w:hint="eastAsia" w:ascii="仿宋_GB2312" w:eastAsia="仿宋_GB2312" w:hAnsiTheme="minorEastAsia"/>
          <w:sz w:val="32"/>
          <w:szCs w:val="32"/>
        </w:rPr>
        <w:t>”</w:t>
      </w:r>
      <w:r>
        <w:rPr>
          <w:rFonts w:ascii="仿宋_GB2312" w:eastAsia="仿宋_GB2312" w:hAnsiTheme="minorEastAsia"/>
          <w:sz w:val="32"/>
          <w:szCs w:val="32"/>
        </w:rPr>
        <w:t>改革、加强技术创新和应用</w:t>
      </w:r>
      <w:r>
        <w:rPr>
          <w:rFonts w:hint="eastAsia" w:ascii="仿宋_GB2312" w:eastAsia="仿宋_GB2312" w:hAnsiTheme="minorEastAsia"/>
          <w:sz w:val="32"/>
          <w:szCs w:val="32"/>
        </w:rPr>
        <w:t>、</w:t>
      </w:r>
      <w:r>
        <w:rPr>
          <w:rFonts w:ascii="仿宋_GB2312" w:eastAsia="仿宋_GB2312" w:hAnsiTheme="minorEastAsia"/>
          <w:sz w:val="32"/>
          <w:szCs w:val="32"/>
        </w:rPr>
        <w:t>强化管理和组织创新</w:t>
      </w:r>
      <w:r>
        <w:rPr>
          <w:rFonts w:hint="eastAsia" w:ascii="仿宋_GB2312" w:eastAsia="仿宋_GB2312" w:hAnsiTheme="minorEastAsia"/>
          <w:sz w:val="32"/>
          <w:szCs w:val="32"/>
        </w:rPr>
        <w:t>为</w:t>
      </w:r>
      <w:r>
        <w:rPr>
          <w:rFonts w:ascii="仿宋_GB2312" w:eastAsia="仿宋_GB2312" w:hAnsiTheme="minorEastAsia"/>
          <w:sz w:val="32"/>
          <w:szCs w:val="32"/>
        </w:rPr>
        <w:t>路径，</w:t>
      </w:r>
      <w:r>
        <w:rPr>
          <w:rFonts w:hint="eastAsia" w:ascii="仿宋_GB2312" w:eastAsia="仿宋_GB2312" w:hAnsiTheme="minorEastAsia"/>
          <w:sz w:val="32"/>
          <w:szCs w:val="32"/>
        </w:rPr>
        <w:t>综合施策</w:t>
      </w:r>
      <w:r>
        <w:rPr>
          <w:rFonts w:ascii="仿宋_GB2312" w:eastAsia="仿宋_GB2312" w:hAnsiTheme="minorEastAsia"/>
          <w:sz w:val="32"/>
          <w:szCs w:val="32"/>
        </w:rPr>
        <w:t>、精准发力，开展湖南省物流业降本增效综合改革试点工作，促进</w:t>
      </w:r>
      <w:r>
        <w:rPr>
          <w:rFonts w:hint="eastAsia" w:ascii="仿宋_GB2312" w:eastAsia="仿宋_GB2312" w:hAnsiTheme="minorEastAsia"/>
          <w:sz w:val="32"/>
          <w:szCs w:val="32"/>
        </w:rPr>
        <w:t>湖南省物流业</w:t>
      </w:r>
      <w:r>
        <w:rPr>
          <w:rFonts w:ascii="仿宋_GB2312" w:eastAsia="仿宋_GB2312" w:hAnsiTheme="minorEastAsia"/>
          <w:sz w:val="32"/>
          <w:szCs w:val="32"/>
        </w:rPr>
        <w:t>建立标准化、信息化、网络化、集约化、智慧化的现代物流服务体系，</w:t>
      </w:r>
      <w:r>
        <w:rPr>
          <w:rFonts w:hint="eastAsia" w:ascii="仿宋_GB2312" w:eastAsia="仿宋_GB2312" w:hAnsiTheme="minorEastAsia"/>
          <w:sz w:val="32"/>
          <w:szCs w:val="32"/>
        </w:rPr>
        <w:t>促</w:t>
      </w:r>
      <w:r>
        <w:rPr>
          <w:rFonts w:ascii="仿宋_GB2312" w:eastAsia="仿宋_GB2312" w:hAnsiTheme="minorEastAsia"/>
          <w:sz w:val="32"/>
          <w:szCs w:val="32"/>
        </w:rPr>
        <w:t>降低物流成本，提高物流运行效率。</w:t>
      </w:r>
    </w:p>
    <w:p>
      <w:pPr>
        <w:pStyle w:val="4"/>
        <w:rPr>
          <w:rFonts w:ascii="仿宋_GB2312" w:eastAsia="仿宋_GB2312" w:cs="Times New Roman" w:hAnsiTheme="minorEastAsia"/>
          <w:bCs w:val="0"/>
        </w:rPr>
      </w:pPr>
      <w:bookmarkStart w:id="72" w:name="_Toc7300025"/>
      <w:r>
        <w:rPr>
          <w:rFonts w:hint="eastAsia" w:ascii="仿宋_GB2312" w:eastAsia="仿宋_GB2312" w:cs="Times New Roman" w:hAnsiTheme="minorEastAsia"/>
          <w:bCs w:val="0"/>
        </w:rPr>
        <w:t>3</w:t>
      </w:r>
      <w:r>
        <w:rPr>
          <w:rFonts w:ascii="仿宋_GB2312" w:eastAsia="仿宋_GB2312" w:cs="Times New Roman" w:hAnsiTheme="minorEastAsia"/>
          <w:bCs w:val="0"/>
        </w:rPr>
        <w:t>.</w:t>
      </w:r>
      <w:r>
        <w:rPr>
          <w:rFonts w:hint="eastAsia" w:ascii="仿宋_GB2312" w:eastAsia="仿宋_GB2312" w:cs="Times New Roman" w:hAnsiTheme="minorEastAsia"/>
          <w:bCs w:val="0"/>
        </w:rPr>
        <w:t>1.2拟</w:t>
      </w:r>
      <w:r>
        <w:rPr>
          <w:rFonts w:ascii="仿宋_GB2312" w:eastAsia="仿宋_GB2312" w:cs="Times New Roman" w:hAnsiTheme="minorEastAsia"/>
          <w:bCs w:val="0"/>
        </w:rPr>
        <w:t>解决的</w:t>
      </w:r>
      <w:r>
        <w:rPr>
          <w:rFonts w:hint="eastAsia" w:ascii="仿宋_GB2312" w:eastAsia="仿宋_GB2312" w:cs="Times New Roman" w:hAnsiTheme="minorEastAsia"/>
          <w:bCs w:val="0"/>
        </w:rPr>
        <w:t>突出</w:t>
      </w:r>
      <w:r>
        <w:rPr>
          <w:rFonts w:ascii="仿宋_GB2312" w:eastAsia="仿宋_GB2312" w:cs="Times New Roman" w:hAnsiTheme="minorEastAsia"/>
          <w:bCs w:val="0"/>
        </w:rPr>
        <w:t>问题</w:t>
      </w:r>
      <w:bookmarkEnd w:id="72"/>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制约湖南</w:t>
      </w:r>
      <w:r>
        <w:rPr>
          <w:rFonts w:ascii="仿宋_GB2312" w:eastAsia="仿宋_GB2312" w:hAnsiTheme="minorEastAsia"/>
          <w:sz w:val="32"/>
          <w:szCs w:val="32"/>
        </w:rPr>
        <w:t>省物流业发展的问题</w:t>
      </w:r>
      <w:r>
        <w:rPr>
          <w:rFonts w:hint="eastAsia" w:ascii="仿宋_GB2312" w:eastAsia="仿宋_GB2312" w:hAnsiTheme="minorEastAsia"/>
          <w:sz w:val="32"/>
          <w:szCs w:val="32"/>
        </w:rPr>
        <w:t>覆盖税收负担、通行环境、土地、融资、用工、行政监督等</w:t>
      </w:r>
      <w:r>
        <w:rPr>
          <w:rFonts w:ascii="仿宋_GB2312" w:eastAsia="仿宋_GB2312" w:hAnsiTheme="minorEastAsia"/>
          <w:sz w:val="32"/>
          <w:szCs w:val="32"/>
        </w:rPr>
        <w:t>多个方面，本次试点工作拟</w:t>
      </w:r>
      <w:r>
        <w:rPr>
          <w:rFonts w:hint="eastAsia" w:ascii="仿宋_GB2312" w:eastAsia="仿宋_GB2312" w:hAnsiTheme="minorEastAsia"/>
          <w:sz w:val="32"/>
          <w:szCs w:val="32"/>
        </w:rPr>
        <w:t>聚焦</w:t>
      </w:r>
      <w:r>
        <w:rPr>
          <w:rFonts w:ascii="仿宋_GB2312" w:eastAsia="仿宋_GB2312" w:hAnsiTheme="minorEastAsia"/>
          <w:sz w:val="32"/>
          <w:szCs w:val="32"/>
        </w:rPr>
        <w:t>突出问题，</w:t>
      </w:r>
      <w:r>
        <w:rPr>
          <w:rFonts w:hint="eastAsia" w:ascii="仿宋_GB2312" w:eastAsia="仿宋_GB2312" w:hAnsiTheme="minorEastAsia"/>
          <w:sz w:val="32"/>
          <w:szCs w:val="32"/>
        </w:rPr>
        <w:t>找准薄弱环节，补齐短板，精准施策，率先</w:t>
      </w:r>
      <w:r>
        <w:rPr>
          <w:rFonts w:ascii="仿宋_GB2312" w:eastAsia="仿宋_GB2312" w:hAnsiTheme="minorEastAsia"/>
          <w:sz w:val="32"/>
          <w:szCs w:val="32"/>
        </w:rPr>
        <w:t>在重点领域取得突破</w:t>
      </w:r>
      <w:r>
        <w:rPr>
          <w:rFonts w:hint="eastAsia" w:ascii="仿宋_GB2312" w:eastAsia="仿宋_GB2312" w:hAnsiTheme="minorEastAsia"/>
          <w:sz w:val="32"/>
          <w:szCs w:val="32"/>
        </w:rPr>
        <w:t>。</w:t>
      </w:r>
      <w:r>
        <w:rPr>
          <w:rFonts w:ascii="仿宋_GB2312" w:eastAsia="仿宋_GB2312" w:hAnsiTheme="minorEastAsia"/>
          <w:sz w:val="32"/>
          <w:szCs w:val="32"/>
        </w:rPr>
        <w:t>拟</w:t>
      </w:r>
      <w:r>
        <w:rPr>
          <w:rFonts w:hint="eastAsia" w:ascii="仿宋_GB2312" w:eastAsia="仿宋_GB2312" w:hAnsiTheme="minorEastAsia"/>
          <w:sz w:val="32"/>
          <w:szCs w:val="32"/>
        </w:rPr>
        <w:t>解决</w:t>
      </w:r>
      <w:r>
        <w:rPr>
          <w:rFonts w:ascii="仿宋_GB2312" w:eastAsia="仿宋_GB2312" w:hAnsiTheme="minorEastAsia"/>
          <w:sz w:val="32"/>
          <w:szCs w:val="32"/>
        </w:rPr>
        <w:t>的突出问题包括：</w:t>
      </w:r>
      <w:r>
        <w:rPr>
          <w:rFonts w:hint="eastAsia" w:ascii="仿宋_GB2312" w:eastAsia="仿宋_GB2312" w:hAnsiTheme="minorEastAsia"/>
          <w:sz w:val="32"/>
          <w:szCs w:val="32"/>
        </w:rPr>
        <w:t>（1）行政审批</w:t>
      </w:r>
      <w:r>
        <w:rPr>
          <w:rFonts w:ascii="仿宋_GB2312" w:eastAsia="仿宋_GB2312" w:hAnsiTheme="minorEastAsia"/>
          <w:sz w:val="32"/>
          <w:szCs w:val="32"/>
        </w:rPr>
        <w:t>流程</w:t>
      </w:r>
      <w:r>
        <w:rPr>
          <w:rFonts w:hint="eastAsia" w:ascii="仿宋_GB2312" w:eastAsia="仿宋_GB2312" w:hAnsiTheme="minorEastAsia"/>
          <w:sz w:val="32"/>
          <w:szCs w:val="32"/>
        </w:rPr>
        <w:t>、涉企</w:t>
      </w:r>
      <w:r>
        <w:rPr>
          <w:rFonts w:ascii="仿宋_GB2312" w:eastAsia="仿宋_GB2312" w:hAnsiTheme="minorEastAsia"/>
          <w:sz w:val="32"/>
          <w:szCs w:val="32"/>
        </w:rPr>
        <w:t>行政收费</w:t>
      </w:r>
      <w:r>
        <w:rPr>
          <w:rFonts w:hint="eastAsia" w:ascii="仿宋_GB2312" w:eastAsia="仿宋_GB2312" w:hAnsiTheme="minorEastAsia"/>
          <w:sz w:val="32"/>
          <w:szCs w:val="32"/>
        </w:rPr>
        <w:t>、</w:t>
      </w:r>
      <w:r>
        <w:rPr>
          <w:rFonts w:ascii="仿宋_GB2312" w:eastAsia="仿宋_GB2312" w:hAnsiTheme="minorEastAsia"/>
          <w:sz w:val="32"/>
          <w:szCs w:val="32"/>
        </w:rPr>
        <w:t>政务信息公开等问题；（</w:t>
      </w:r>
      <w:r>
        <w:rPr>
          <w:rFonts w:hint="eastAsia" w:ascii="仿宋_GB2312" w:eastAsia="仿宋_GB2312" w:hAnsiTheme="minorEastAsia"/>
          <w:sz w:val="32"/>
          <w:szCs w:val="32"/>
        </w:rPr>
        <w:t>2</w:t>
      </w:r>
      <w:r>
        <w:rPr>
          <w:rFonts w:ascii="仿宋_GB2312" w:eastAsia="仿宋_GB2312" w:hAnsiTheme="minorEastAsia"/>
          <w:sz w:val="32"/>
          <w:szCs w:val="32"/>
        </w:rPr>
        <w:t>）</w:t>
      </w:r>
      <w:r>
        <w:rPr>
          <w:rFonts w:hint="eastAsia" w:ascii="仿宋_GB2312" w:eastAsia="仿宋_GB2312" w:hAnsiTheme="minorEastAsia"/>
          <w:sz w:val="32"/>
          <w:szCs w:val="32"/>
        </w:rPr>
        <w:t>城市</w:t>
      </w:r>
      <w:r>
        <w:rPr>
          <w:rFonts w:ascii="仿宋_GB2312" w:eastAsia="仿宋_GB2312" w:hAnsiTheme="minorEastAsia"/>
          <w:sz w:val="32"/>
          <w:szCs w:val="32"/>
        </w:rPr>
        <w:t>配送</w:t>
      </w:r>
      <w:r>
        <w:rPr>
          <w:rFonts w:hint="eastAsia" w:ascii="仿宋_GB2312" w:eastAsia="仿宋_GB2312" w:hAnsiTheme="minorEastAsia"/>
          <w:sz w:val="32"/>
          <w:szCs w:val="32"/>
        </w:rPr>
        <w:t>车辆</w:t>
      </w:r>
      <w:r>
        <w:rPr>
          <w:rFonts w:ascii="仿宋_GB2312" w:eastAsia="仿宋_GB2312" w:hAnsiTheme="minorEastAsia"/>
          <w:sz w:val="32"/>
          <w:szCs w:val="32"/>
        </w:rPr>
        <w:t>通行环境问题</w:t>
      </w:r>
      <w:r>
        <w:rPr>
          <w:rFonts w:hint="eastAsia" w:ascii="仿宋_GB2312" w:eastAsia="仿宋_GB2312" w:hAnsiTheme="minorEastAsia"/>
          <w:sz w:val="32"/>
          <w:szCs w:val="32"/>
        </w:rPr>
        <w:t>；</w:t>
      </w:r>
      <w:r>
        <w:rPr>
          <w:rFonts w:ascii="仿宋_GB2312" w:eastAsia="仿宋_GB2312" w:hAnsiTheme="minorEastAsia"/>
          <w:sz w:val="32"/>
          <w:szCs w:val="32"/>
        </w:rPr>
        <w:t>（</w:t>
      </w:r>
      <w:r>
        <w:rPr>
          <w:rFonts w:hint="eastAsia" w:ascii="仿宋_GB2312" w:eastAsia="仿宋_GB2312" w:hAnsiTheme="minorEastAsia"/>
          <w:sz w:val="32"/>
          <w:szCs w:val="32"/>
        </w:rPr>
        <w:t>3</w:t>
      </w:r>
      <w:r>
        <w:rPr>
          <w:rFonts w:ascii="仿宋_GB2312" w:eastAsia="仿宋_GB2312" w:hAnsiTheme="minorEastAsia"/>
          <w:sz w:val="32"/>
          <w:szCs w:val="32"/>
        </w:rPr>
        <w:t>）</w:t>
      </w:r>
      <w:r>
        <w:rPr>
          <w:rFonts w:hint="eastAsia" w:ascii="仿宋_GB2312" w:eastAsia="仿宋_GB2312" w:hAnsiTheme="minorEastAsia"/>
          <w:sz w:val="32"/>
          <w:szCs w:val="32"/>
        </w:rPr>
        <w:t>物流企业</w:t>
      </w:r>
      <w:r>
        <w:rPr>
          <w:rFonts w:ascii="仿宋_GB2312" w:eastAsia="仿宋_GB2312" w:hAnsiTheme="minorEastAsia"/>
          <w:sz w:val="32"/>
          <w:szCs w:val="32"/>
        </w:rPr>
        <w:t>用地难问题；（</w:t>
      </w:r>
      <w:r>
        <w:rPr>
          <w:rFonts w:hint="eastAsia" w:ascii="仿宋_GB2312" w:eastAsia="仿宋_GB2312" w:hAnsiTheme="minorEastAsia"/>
          <w:sz w:val="32"/>
          <w:szCs w:val="32"/>
        </w:rPr>
        <w:t>4</w:t>
      </w:r>
      <w:r>
        <w:rPr>
          <w:rFonts w:ascii="仿宋_GB2312" w:eastAsia="仿宋_GB2312" w:hAnsiTheme="minorEastAsia"/>
          <w:sz w:val="32"/>
          <w:szCs w:val="32"/>
        </w:rPr>
        <w:t>）</w:t>
      </w:r>
      <w:r>
        <w:rPr>
          <w:rFonts w:hint="eastAsia" w:ascii="仿宋_GB2312" w:eastAsia="仿宋_GB2312" w:hAnsiTheme="minorEastAsia"/>
          <w:sz w:val="32"/>
          <w:szCs w:val="32"/>
        </w:rPr>
        <w:t>物流企业</w:t>
      </w:r>
      <w:r>
        <w:rPr>
          <w:rFonts w:ascii="仿宋_GB2312" w:eastAsia="仿宋_GB2312" w:hAnsiTheme="minorEastAsia"/>
          <w:sz w:val="32"/>
          <w:szCs w:val="32"/>
        </w:rPr>
        <w:t>融资渠道单一</w:t>
      </w:r>
      <w:r>
        <w:rPr>
          <w:rFonts w:hint="eastAsia" w:ascii="仿宋_GB2312" w:eastAsia="仿宋_GB2312" w:hAnsiTheme="minorEastAsia"/>
          <w:sz w:val="32"/>
          <w:szCs w:val="32"/>
        </w:rPr>
        <w:t>、</w:t>
      </w:r>
      <w:r>
        <w:rPr>
          <w:rFonts w:ascii="仿宋_GB2312" w:eastAsia="仿宋_GB2312" w:hAnsiTheme="minorEastAsia"/>
          <w:sz w:val="32"/>
          <w:szCs w:val="32"/>
        </w:rPr>
        <w:t>融资成本高问题；</w:t>
      </w:r>
      <w:r>
        <w:rPr>
          <w:rFonts w:hint="eastAsia" w:ascii="仿宋_GB2312" w:eastAsia="仿宋_GB2312" w:hAnsiTheme="minorEastAsia"/>
          <w:sz w:val="32"/>
          <w:szCs w:val="32"/>
        </w:rPr>
        <w:t>（5）物流企业创</w:t>
      </w:r>
      <w:r>
        <w:rPr>
          <w:rFonts w:ascii="仿宋_GB2312" w:eastAsia="仿宋_GB2312" w:hAnsiTheme="minorEastAsia"/>
          <w:sz w:val="32"/>
          <w:szCs w:val="32"/>
        </w:rPr>
        <w:t>新发展</w:t>
      </w:r>
      <w:r>
        <w:rPr>
          <w:rFonts w:hint="eastAsia" w:ascii="仿宋_GB2312" w:eastAsia="仿宋_GB2312" w:hAnsiTheme="minorEastAsia"/>
          <w:sz w:val="32"/>
          <w:szCs w:val="32"/>
        </w:rPr>
        <w:t>不足</w:t>
      </w:r>
      <w:r>
        <w:rPr>
          <w:rFonts w:ascii="仿宋_GB2312" w:eastAsia="仿宋_GB2312" w:hAnsiTheme="minorEastAsia"/>
          <w:sz w:val="32"/>
          <w:szCs w:val="32"/>
        </w:rPr>
        <w:t>问题</w:t>
      </w:r>
      <w:r>
        <w:rPr>
          <w:rFonts w:hint="eastAsia" w:ascii="仿宋_GB2312" w:eastAsia="仿宋_GB2312" w:hAnsiTheme="minorEastAsia"/>
          <w:sz w:val="32"/>
          <w:szCs w:val="32"/>
        </w:rPr>
        <w:t>。</w:t>
      </w:r>
    </w:p>
    <w:p>
      <w:pPr>
        <w:pStyle w:val="4"/>
        <w:rPr>
          <w:rFonts w:ascii="仿宋_GB2312" w:eastAsia="仿宋_GB2312" w:hAnsiTheme="minorEastAsia"/>
          <w:b w:val="0"/>
        </w:rPr>
      </w:pPr>
      <w:bookmarkStart w:id="73" w:name="_Toc7300026"/>
      <w:r>
        <w:rPr>
          <w:rFonts w:hint="eastAsia" w:ascii="仿宋_GB2312" w:eastAsia="仿宋_GB2312" w:cs="Times New Roman" w:hAnsiTheme="minorEastAsia"/>
          <w:bCs w:val="0"/>
        </w:rPr>
        <w:t>3</w:t>
      </w:r>
      <w:r>
        <w:rPr>
          <w:rFonts w:ascii="仿宋_GB2312" w:eastAsia="仿宋_GB2312" w:cs="Times New Roman" w:hAnsiTheme="minorEastAsia"/>
          <w:bCs w:val="0"/>
        </w:rPr>
        <w:t>.1.3</w:t>
      </w:r>
      <w:r>
        <w:rPr>
          <w:rFonts w:hint="eastAsia" w:ascii="仿宋_GB2312" w:eastAsia="仿宋_GB2312" w:cs="Times New Roman" w:hAnsiTheme="minorEastAsia"/>
          <w:bCs w:val="0"/>
        </w:rPr>
        <w:t>降本</w:t>
      </w:r>
      <w:r>
        <w:rPr>
          <w:rFonts w:ascii="仿宋_GB2312" w:eastAsia="仿宋_GB2312" w:cs="Times New Roman" w:hAnsiTheme="minorEastAsia"/>
          <w:bCs w:val="0"/>
        </w:rPr>
        <w:t>增效实现路径</w:t>
      </w:r>
      <w:bookmarkEnd w:id="73"/>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促进物流业降本增效的核心在于通过优化服务供给、延伸服务链条、打破制度瓶颈，激发物流业发展的内生动力和市场活力，提升物流业发展的整体效率效益，从而更好的服务于实体经济企业成本降低。总体来看</w:t>
      </w:r>
      <w:r>
        <w:rPr>
          <w:rFonts w:ascii="仿宋_GB2312" w:eastAsia="仿宋_GB2312" w:hAnsiTheme="minorEastAsia"/>
          <w:sz w:val="32"/>
          <w:szCs w:val="32"/>
        </w:rPr>
        <w:t>，</w:t>
      </w:r>
      <w:r>
        <w:rPr>
          <w:rFonts w:hint="eastAsia" w:ascii="仿宋_GB2312" w:eastAsia="仿宋_GB2312" w:hAnsiTheme="minorEastAsia"/>
          <w:sz w:val="32"/>
          <w:szCs w:val="32"/>
        </w:rPr>
        <w:t>促进</w:t>
      </w:r>
      <w:r>
        <w:rPr>
          <w:rFonts w:ascii="仿宋_GB2312" w:eastAsia="仿宋_GB2312" w:hAnsiTheme="minorEastAsia"/>
          <w:sz w:val="32"/>
          <w:szCs w:val="32"/>
        </w:rPr>
        <w:t>物流业降本增效有</w:t>
      </w:r>
      <w:r>
        <w:rPr>
          <w:rFonts w:hint="eastAsia" w:ascii="仿宋_GB2312" w:eastAsia="仿宋_GB2312" w:hAnsiTheme="minorEastAsia"/>
          <w:sz w:val="32"/>
          <w:szCs w:val="32"/>
        </w:rPr>
        <w:t>以下</w:t>
      </w:r>
      <w:r>
        <w:rPr>
          <w:rFonts w:ascii="仿宋_GB2312" w:eastAsia="仿宋_GB2312" w:hAnsiTheme="minorEastAsia"/>
          <w:sz w:val="32"/>
          <w:szCs w:val="32"/>
        </w:rPr>
        <w:t>四条路径。</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1</w:t>
      </w:r>
      <w:r>
        <w:rPr>
          <w:rFonts w:hint="eastAsia" w:ascii="仿宋_GB2312" w:eastAsia="仿宋_GB2312" w:hAnsiTheme="minorEastAsia"/>
          <w:b/>
          <w:sz w:val="32"/>
          <w:szCs w:val="32"/>
        </w:rPr>
        <w:t>）优化物流市场结构，推进“结构性”降本增效</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通过优化市场主体结构、运输结构等方式，实现宏观尺度下的物流资源优化配置，是解决结构性性成本的重要途径，是远期实现成本效益最优的根本之道。通过</w:t>
      </w:r>
      <w:r>
        <w:rPr>
          <w:rFonts w:ascii="仿宋_GB2312" w:eastAsia="仿宋_GB2312" w:hAnsiTheme="minorEastAsia"/>
          <w:sz w:val="32"/>
          <w:szCs w:val="32"/>
        </w:rPr>
        <w:t>政策引导支持</w:t>
      </w:r>
      <w:r>
        <w:rPr>
          <w:rFonts w:hint="eastAsia" w:ascii="仿宋_GB2312" w:eastAsia="仿宋_GB2312" w:hAnsiTheme="minorEastAsia"/>
          <w:sz w:val="32"/>
          <w:szCs w:val="32"/>
        </w:rPr>
        <w:t>发展</w:t>
      </w:r>
      <w:r>
        <w:rPr>
          <w:rFonts w:ascii="仿宋_GB2312" w:eastAsia="仿宋_GB2312" w:hAnsiTheme="minorEastAsia"/>
          <w:sz w:val="32"/>
          <w:szCs w:val="32"/>
        </w:rPr>
        <w:t>湖南省物流业龙头企业</w:t>
      </w:r>
      <w:r>
        <w:rPr>
          <w:rFonts w:hint="eastAsia" w:ascii="仿宋_GB2312" w:eastAsia="仿宋_GB2312" w:hAnsiTheme="minorEastAsia"/>
          <w:sz w:val="32"/>
          <w:szCs w:val="32"/>
        </w:rPr>
        <w:t>，</w:t>
      </w:r>
      <w:r>
        <w:rPr>
          <w:rFonts w:ascii="仿宋_GB2312" w:eastAsia="仿宋_GB2312" w:hAnsiTheme="minorEastAsia"/>
          <w:sz w:val="32"/>
          <w:szCs w:val="32"/>
        </w:rPr>
        <w:t>实现物流</w:t>
      </w:r>
      <w:r>
        <w:rPr>
          <w:rFonts w:hint="eastAsia" w:ascii="仿宋_GB2312" w:eastAsia="仿宋_GB2312" w:hAnsiTheme="minorEastAsia"/>
          <w:sz w:val="32"/>
          <w:szCs w:val="32"/>
        </w:rPr>
        <w:t>业</w:t>
      </w:r>
      <w:r>
        <w:rPr>
          <w:rFonts w:ascii="仿宋_GB2312" w:eastAsia="仿宋_GB2312" w:hAnsiTheme="minorEastAsia"/>
          <w:sz w:val="32"/>
          <w:szCs w:val="32"/>
        </w:rPr>
        <w:t>规模化、集约化发展，从而实现物流业降本增效。</w:t>
      </w:r>
      <w:r>
        <w:rPr>
          <w:rFonts w:hint="eastAsia" w:ascii="仿宋_GB2312" w:eastAsia="仿宋_GB2312" w:hAnsiTheme="minorEastAsia"/>
          <w:sz w:val="32"/>
          <w:szCs w:val="32"/>
        </w:rPr>
        <w:t>通过不断完善物流基础设施布局，引导、优化重大产业布局，减少因长距离、大规模、主要依靠陆运的方式引起的物流成本增加，支撑产业转型升级和产业梯度转移，引导物流业降本增效。</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2</w:t>
      </w:r>
      <w:r>
        <w:rPr>
          <w:rFonts w:hint="eastAsia" w:ascii="仿宋_GB2312" w:eastAsia="仿宋_GB2312" w:hAnsiTheme="minorEastAsia"/>
          <w:b/>
          <w:sz w:val="32"/>
          <w:szCs w:val="32"/>
        </w:rPr>
        <w:t>）深化“放管服”改革，推进“制度性”降本增效</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通过提高政府综合治理能力，简政放权、优化行政执法、信用体系建设、完善收费政策、推动跨部门管理协同、</w:t>
      </w:r>
      <w:r>
        <w:rPr>
          <w:rFonts w:ascii="仿宋_GB2312" w:eastAsia="仿宋_GB2312" w:hAnsiTheme="minorEastAsia"/>
          <w:sz w:val="32"/>
          <w:szCs w:val="32"/>
        </w:rPr>
        <w:t>优化营商环境</w:t>
      </w:r>
      <w:r>
        <w:rPr>
          <w:rFonts w:hint="eastAsia" w:ascii="仿宋_GB2312" w:eastAsia="仿宋_GB2312" w:hAnsiTheme="minorEastAsia"/>
          <w:sz w:val="32"/>
          <w:szCs w:val="32"/>
        </w:rPr>
        <w:t>等工作，是解决制度性成本的主要途径，也是物流管理相关部门主动作为的主要领域，通过政策松绑能够激发市场发展活力，短期内取得降成本的成效。试点着重聚焦制约物流业发展的体制机制障碍，破除不适应物流业发展的政策限制，着力治理乱收费、乱罚款、乱审批，降低物流业相关</w:t>
      </w:r>
      <w:r>
        <w:rPr>
          <w:rFonts w:ascii="仿宋_GB2312" w:eastAsia="仿宋_GB2312" w:hAnsiTheme="minorEastAsia"/>
          <w:sz w:val="32"/>
          <w:szCs w:val="32"/>
        </w:rPr>
        <w:t>税费</w:t>
      </w:r>
      <w:r>
        <w:rPr>
          <w:rFonts w:hint="eastAsia" w:ascii="仿宋_GB2312" w:eastAsia="仿宋_GB2312" w:hAnsiTheme="minorEastAsia"/>
          <w:sz w:val="32"/>
          <w:szCs w:val="32"/>
        </w:rPr>
        <w:t>，优化物流发展营商环境，降低制度性交易成本。</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）加强技术创新和应用，推进“技术性”降本增效</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结合“互联网+”，鼓励先进技术的应用推广，加快物流信息资源的互联共享，提升设施设备的专业化和智能化水平，是解决技术性成本的有效途径，也是相关部门需要大力推动的重要领域，通过鼓励企业创新发展，提高物流活动的效率效益。鼓励以“互联网+”、大数据、云计算等为代表的新一代信息技术应用，提高装备标准化、现代化水平，推进信息开放共享，提高设施设备运行效率，以增效促降本。</w:t>
      </w:r>
    </w:p>
    <w:p>
      <w:pPr>
        <w:pStyle w:val="6"/>
        <w:adjustRightInd w:val="0"/>
        <w:snapToGrid w:val="0"/>
        <w:spacing w:line="60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4</w:t>
      </w:r>
      <w:r>
        <w:rPr>
          <w:rFonts w:hint="eastAsia" w:ascii="仿宋_GB2312" w:eastAsia="仿宋_GB2312" w:hAnsiTheme="minorEastAsia"/>
          <w:b/>
          <w:sz w:val="32"/>
          <w:szCs w:val="32"/>
        </w:rPr>
        <w:t>）强化管理和组织创新，推进“管理性”降本增效</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通过</w:t>
      </w:r>
      <w:r>
        <w:rPr>
          <w:rFonts w:ascii="仿宋_GB2312" w:eastAsia="仿宋_GB2312" w:hAnsiTheme="minorEastAsia"/>
          <w:sz w:val="32"/>
          <w:szCs w:val="32"/>
        </w:rPr>
        <w:t>提升</w:t>
      </w:r>
      <w:r>
        <w:rPr>
          <w:rFonts w:hint="eastAsia" w:ascii="仿宋_GB2312" w:eastAsia="仿宋_GB2312" w:hAnsiTheme="minorEastAsia"/>
          <w:sz w:val="32"/>
          <w:szCs w:val="32"/>
        </w:rPr>
        <w:t>物流组织</w:t>
      </w:r>
      <w:r>
        <w:rPr>
          <w:rFonts w:ascii="仿宋_GB2312" w:eastAsia="仿宋_GB2312" w:hAnsiTheme="minorEastAsia"/>
          <w:sz w:val="32"/>
          <w:szCs w:val="32"/>
        </w:rPr>
        <w:t>的集约化水平，</w:t>
      </w:r>
      <w:r>
        <w:rPr>
          <w:rFonts w:hint="eastAsia" w:ascii="仿宋_GB2312" w:eastAsia="仿宋_GB2312" w:hAnsiTheme="minorEastAsia"/>
          <w:sz w:val="32"/>
          <w:szCs w:val="32"/>
        </w:rPr>
        <w:t>提高政府</w:t>
      </w:r>
      <w:r>
        <w:rPr>
          <w:rFonts w:ascii="仿宋_GB2312" w:eastAsia="仿宋_GB2312" w:hAnsiTheme="minorEastAsia"/>
          <w:sz w:val="32"/>
          <w:szCs w:val="32"/>
        </w:rPr>
        <w:t>相关机构服务</w:t>
      </w:r>
      <w:r>
        <w:rPr>
          <w:rFonts w:hint="eastAsia" w:ascii="仿宋_GB2312" w:eastAsia="仿宋_GB2312" w:hAnsiTheme="minorEastAsia"/>
          <w:sz w:val="32"/>
          <w:szCs w:val="32"/>
        </w:rPr>
        <w:t>效率，完善</w:t>
      </w:r>
      <w:r>
        <w:rPr>
          <w:rFonts w:ascii="仿宋_GB2312" w:eastAsia="仿宋_GB2312" w:hAnsiTheme="minorEastAsia"/>
          <w:sz w:val="32"/>
          <w:szCs w:val="32"/>
        </w:rPr>
        <w:t>物流信用体系，</w:t>
      </w:r>
      <w:r>
        <w:rPr>
          <w:rFonts w:hint="eastAsia" w:ascii="仿宋_GB2312" w:eastAsia="仿宋_GB2312" w:hAnsiTheme="minorEastAsia"/>
          <w:sz w:val="32"/>
          <w:szCs w:val="32"/>
        </w:rPr>
        <w:t>激发市场</w:t>
      </w:r>
      <w:r>
        <w:rPr>
          <w:rFonts w:ascii="仿宋_GB2312" w:eastAsia="仿宋_GB2312" w:hAnsiTheme="minorEastAsia"/>
          <w:sz w:val="32"/>
          <w:szCs w:val="32"/>
        </w:rPr>
        <w:t>主体活力，是解决物流管理</w:t>
      </w:r>
      <w:r>
        <w:rPr>
          <w:rFonts w:hint="eastAsia" w:ascii="仿宋_GB2312" w:eastAsia="仿宋_GB2312" w:hAnsiTheme="minorEastAsia"/>
          <w:sz w:val="32"/>
          <w:szCs w:val="32"/>
        </w:rPr>
        <w:t>性</w:t>
      </w:r>
      <w:r>
        <w:rPr>
          <w:rFonts w:ascii="仿宋_GB2312" w:eastAsia="仿宋_GB2312" w:hAnsiTheme="minorEastAsia"/>
          <w:sz w:val="32"/>
          <w:szCs w:val="32"/>
        </w:rPr>
        <w:t>成本的主要途径</w:t>
      </w:r>
      <w:r>
        <w:rPr>
          <w:rFonts w:hint="eastAsia" w:ascii="仿宋_GB2312" w:eastAsia="仿宋_GB2312" w:hAnsiTheme="minorEastAsia"/>
          <w:sz w:val="32"/>
          <w:szCs w:val="32"/>
        </w:rPr>
        <w:t>。</w:t>
      </w:r>
      <w:r>
        <w:rPr>
          <w:rFonts w:ascii="仿宋_GB2312" w:eastAsia="仿宋_GB2312" w:hAnsiTheme="minorEastAsia"/>
          <w:sz w:val="32"/>
          <w:szCs w:val="32"/>
        </w:rPr>
        <w:t>通过政府引导</w:t>
      </w:r>
      <w:r>
        <w:rPr>
          <w:rFonts w:hint="eastAsia" w:ascii="仿宋_GB2312" w:eastAsia="仿宋_GB2312" w:hAnsiTheme="minorEastAsia"/>
          <w:sz w:val="32"/>
          <w:szCs w:val="32"/>
        </w:rPr>
        <w:t>，</w:t>
      </w:r>
      <w:r>
        <w:rPr>
          <w:rFonts w:ascii="仿宋_GB2312" w:eastAsia="仿宋_GB2312" w:hAnsiTheme="minorEastAsia"/>
          <w:sz w:val="32"/>
          <w:szCs w:val="32"/>
        </w:rPr>
        <w:t>企业参与，</w:t>
      </w:r>
      <w:r>
        <w:rPr>
          <w:rFonts w:hint="eastAsia" w:ascii="仿宋_GB2312" w:eastAsia="仿宋_GB2312" w:hAnsiTheme="minorEastAsia"/>
          <w:sz w:val="32"/>
          <w:szCs w:val="32"/>
        </w:rPr>
        <w:t>着力推动企业管理创新、组织创新，培育和支持平台型龙头骨干企业整合“小散弱”市场主体，积极发展专项领域物流，激发市场活力，</w:t>
      </w:r>
      <w:r>
        <w:rPr>
          <w:rFonts w:ascii="仿宋_GB2312" w:eastAsia="仿宋_GB2312" w:hAnsiTheme="minorEastAsia"/>
          <w:sz w:val="32"/>
          <w:szCs w:val="32"/>
        </w:rPr>
        <w:t>从而实现降本增效</w:t>
      </w:r>
      <w:r>
        <w:rPr>
          <w:rFonts w:hint="eastAsia" w:ascii="仿宋_GB2312" w:eastAsia="仿宋_GB2312" w:hAnsiTheme="minorEastAsia"/>
          <w:sz w:val="32"/>
          <w:szCs w:val="32"/>
        </w:rPr>
        <w:t>。</w:t>
      </w:r>
    </w:p>
    <w:p>
      <w:pPr>
        <w:pStyle w:val="3"/>
        <w:rPr>
          <w:rFonts w:ascii="楷体" w:hAnsi="楷体" w:eastAsia="楷体"/>
        </w:rPr>
      </w:pPr>
      <w:bookmarkStart w:id="74" w:name="_Toc6551640"/>
      <w:bookmarkStart w:id="75" w:name="_Toc7300027"/>
      <w:bookmarkStart w:id="76" w:name="_Toc7300069"/>
      <w:r>
        <w:rPr>
          <w:rFonts w:hint="eastAsia" w:ascii="楷体" w:hAnsi="楷体" w:eastAsia="楷体"/>
        </w:rPr>
        <w:t>3.2基本原则</w:t>
      </w:r>
      <w:bookmarkEnd w:id="74"/>
      <w:bookmarkEnd w:id="75"/>
      <w:bookmarkEnd w:id="76"/>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市场主导、政府服务。</w:t>
      </w:r>
      <w:r>
        <w:rPr>
          <w:rFonts w:hint="eastAsia" w:ascii="仿宋_GB2312" w:eastAsia="仿宋_GB2312" w:hAnsiTheme="minorEastAsia"/>
          <w:sz w:val="32"/>
          <w:szCs w:val="32"/>
        </w:rPr>
        <w:t>遵循</w:t>
      </w:r>
      <w:r>
        <w:rPr>
          <w:rFonts w:ascii="仿宋_GB2312" w:eastAsia="仿宋_GB2312" w:hAnsiTheme="minorEastAsia"/>
          <w:sz w:val="32"/>
          <w:szCs w:val="32"/>
        </w:rPr>
        <w:t>市场规律，强化市场主体作用，</w:t>
      </w:r>
      <w:r>
        <w:rPr>
          <w:rFonts w:hint="eastAsia" w:ascii="仿宋_GB2312" w:eastAsia="仿宋_GB2312" w:hAnsiTheme="minorEastAsia"/>
          <w:sz w:val="32"/>
          <w:szCs w:val="32"/>
        </w:rPr>
        <w:t>充分发挥市场在资源配置中的决定性作用，激发</w:t>
      </w:r>
      <w:r>
        <w:rPr>
          <w:rFonts w:ascii="仿宋_GB2312" w:eastAsia="仿宋_GB2312" w:hAnsiTheme="minorEastAsia"/>
          <w:sz w:val="32"/>
          <w:szCs w:val="32"/>
        </w:rPr>
        <w:t>市场活力，</w:t>
      </w:r>
      <w:r>
        <w:rPr>
          <w:rFonts w:hint="eastAsia" w:ascii="仿宋_GB2312" w:eastAsia="仿宋_GB2312" w:hAnsiTheme="minorEastAsia"/>
          <w:sz w:val="32"/>
          <w:szCs w:val="32"/>
        </w:rPr>
        <w:t>支持</w:t>
      </w:r>
      <w:r>
        <w:rPr>
          <w:rFonts w:ascii="仿宋_GB2312" w:eastAsia="仿宋_GB2312" w:hAnsiTheme="minorEastAsia"/>
          <w:sz w:val="32"/>
          <w:szCs w:val="32"/>
        </w:rPr>
        <w:t>企业做大做强。</w:t>
      </w:r>
      <w:r>
        <w:rPr>
          <w:rFonts w:hint="eastAsia" w:ascii="仿宋_GB2312" w:eastAsia="仿宋_GB2312" w:hAnsiTheme="minorEastAsia"/>
          <w:sz w:val="32"/>
          <w:szCs w:val="32"/>
        </w:rPr>
        <w:t>更好发挥政府的</w:t>
      </w:r>
      <w:r>
        <w:rPr>
          <w:rFonts w:ascii="仿宋_GB2312" w:eastAsia="仿宋_GB2312" w:hAnsiTheme="minorEastAsia"/>
          <w:sz w:val="32"/>
          <w:szCs w:val="32"/>
        </w:rPr>
        <w:t>引导和支持</w:t>
      </w:r>
      <w:r>
        <w:rPr>
          <w:rFonts w:hint="eastAsia" w:ascii="仿宋_GB2312" w:eastAsia="仿宋_GB2312" w:hAnsiTheme="minorEastAsia"/>
          <w:sz w:val="32"/>
          <w:szCs w:val="32"/>
        </w:rPr>
        <w:t>作用，深化</w:t>
      </w:r>
      <w:r>
        <w:rPr>
          <w:rFonts w:ascii="仿宋_GB2312" w:eastAsia="仿宋_GB2312" w:hAnsiTheme="minorEastAsia"/>
          <w:sz w:val="32"/>
          <w:szCs w:val="32"/>
        </w:rPr>
        <w:t>“</w:t>
      </w:r>
      <w:r>
        <w:rPr>
          <w:rFonts w:hint="eastAsia" w:ascii="仿宋_GB2312" w:eastAsia="仿宋_GB2312" w:hAnsiTheme="minorEastAsia"/>
          <w:sz w:val="32"/>
          <w:szCs w:val="32"/>
        </w:rPr>
        <w:t>放管服</w:t>
      </w:r>
      <w:r>
        <w:rPr>
          <w:rFonts w:ascii="仿宋_GB2312" w:eastAsia="仿宋_GB2312" w:hAnsiTheme="minorEastAsia"/>
          <w:sz w:val="32"/>
          <w:szCs w:val="32"/>
        </w:rPr>
        <w:t>”</w:t>
      </w:r>
      <w:r>
        <w:rPr>
          <w:rFonts w:hint="eastAsia" w:ascii="仿宋_GB2312" w:eastAsia="仿宋_GB2312" w:hAnsiTheme="minorEastAsia"/>
          <w:sz w:val="32"/>
          <w:szCs w:val="32"/>
        </w:rPr>
        <w:t>改革</w:t>
      </w:r>
      <w:r>
        <w:rPr>
          <w:rFonts w:ascii="仿宋_GB2312" w:eastAsia="仿宋_GB2312" w:hAnsiTheme="minorEastAsia"/>
          <w:sz w:val="32"/>
          <w:szCs w:val="32"/>
        </w:rPr>
        <w:t>，</w:t>
      </w:r>
      <w:r>
        <w:rPr>
          <w:rFonts w:hint="eastAsia" w:ascii="仿宋_GB2312" w:eastAsia="仿宋_GB2312" w:hAnsiTheme="minorEastAsia"/>
          <w:sz w:val="32"/>
          <w:szCs w:val="32"/>
        </w:rPr>
        <w:t>加大</w:t>
      </w:r>
      <w:r>
        <w:rPr>
          <w:rFonts w:ascii="仿宋_GB2312" w:eastAsia="仿宋_GB2312" w:hAnsiTheme="minorEastAsia"/>
          <w:sz w:val="32"/>
          <w:szCs w:val="32"/>
        </w:rPr>
        <w:t>简政放权，优化政府服务</w:t>
      </w:r>
      <w:r>
        <w:rPr>
          <w:rFonts w:hint="eastAsia" w:ascii="仿宋_GB2312" w:eastAsia="仿宋_GB2312" w:hAnsiTheme="minorEastAsia"/>
          <w:sz w:val="32"/>
          <w:szCs w:val="32"/>
        </w:rPr>
        <w:t>，营造良好营商环境。</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问题导向、重点突破。</w:t>
      </w:r>
      <w:r>
        <w:rPr>
          <w:rFonts w:hint="eastAsia" w:ascii="仿宋_GB2312" w:eastAsia="仿宋_GB2312" w:hAnsiTheme="minorEastAsia"/>
          <w:sz w:val="32"/>
          <w:szCs w:val="32"/>
        </w:rPr>
        <w:t>聚焦</w:t>
      </w:r>
      <w:r>
        <w:rPr>
          <w:rFonts w:ascii="仿宋_GB2312" w:eastAsia="仿宋_GB2312" w:hAnsiTheme="minorEastAsia"/>
          <w:sz w:val="32"/>
          <w:szCs w:val="32"/>
        </w:rPr>
        <w:t>湖南省物流业</w:t>
      </w:r>
      <w:r>
        <w:rPr>
          <w:rFonts w:hint="eastAsia" w:ascii="仿宋_GB2312" w:eastAsia="仿宋_GB2312" w:hAnsiTheme="minorEastAsia"/>
          <w:sz w:val="32"/>
          <w:szCs w:val="32"/>
        </w:rPr>
        <w:t>发展</w:t>
      </w:r>
      <w:r>
        <w:rPr>
          <w:rFonts w:ascii="仿宋_GB2312" w:eastAsia="仿宋_GB2312" w:hAnsiTheme="minorEastAsia"/>
          <w:sz w:val="32"/>
          <w:szCs w:val="32"/>
        </w:rPr>
        <w:t>存在</w:t>
      </w:r>
      <w:r>
        <w:rPr>
          <w:rFonts w:hint="eastAsia" w:ascii="仿宋_GB2312" w:eastAsia="仿宋_GB2312" w:hAnsiTheme="minorEastAsia"/>
          <w:sz w:val="32"/>
          <w:szCs w:val="32"/>
        </w:rPr>
        <w:t>的</w:t>
      </w:r>
      <w:r>
        <w:rPr>
          <w:rFonts w:ascii="仿宋_GB2312" w:eastAsia="仿宋_GB2312" w:hAnsiTheme="minorEastAsia"/>
          <w:sz w:val="32"/>
          <w:szCs w:val="32"/>
        </w:rPr>
        <w:t>突出问题，</w:t>
      </w:r>
      <w:r>
        <w:rPr>
          <w:rFonts w:hint="eastAsia" w:ascii="仿宋_GB2312" w:eastAsia="仿宋_GB2312" w:hAnsiTheme="minorEastAsia"/>
          <w:sz w:val="32"/>
          <w:szCs w:val="32"/>
        </w:rPr>
        <w:t>找准薄弱环节，补齐短板，精准施策，率先</w:t>
      </w:r>
      <w:r>
        <w:rPr>
          <w:rFonts w:ascii="仿宋_GB2312" w:eastAsia="仿宋_GB2312" w:hAnsiTheme="minorEastAsia"/>
          <w:sz w:val="32"/>
          <w:szCs w:val="32"/>
        </w:rPr>
        <w:t>在重点领域取得突破，解决瓶颈问题，</w:t>
      </w:r>
      <w:r>
        <w:rPr>
          <w:rFonts w:hint="eastAsia" w:ascii="仿宋_GB2312" w:eastAsia="仿宋_GB2312" w:hAnsiTheme="minorEastAsia"/>
          <w:sz w:val="32"/>
          <w:szCs w:val="32"/>
        </w:rPr>
        <w:t>提高物流业发展质量效益。</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技术支撑、创新驱动。</w:t>
      </w:r>
      <w:r>
        <w:rPr>
          <w:rFonts w:hint="eastAsia" w:ascii="仿宋_GB2312" w:eastAsia="仿宋_GB2312" w:hAnsiTheme="minorEastAsia"/>
          <w:sz w:val="32"/>
          <w:szCs w:val="32"/>
        </w:rPr>
        <w:t>鼓励</w:t>
      </w:r>
      <w:r>
        <w:rPr>
          <w:rFonts w:ascii="仿宋_GB2312" w:eastAsia="仿宋_GB2312" w:hAnsiTheme="minorEastAsia"/>
          <w:sz w:val="32"/>
          <w:szCs w:val="32"/>
        </w:rPr>
        <w:t>先进技术装备应用，</w:t>
      </w:r>
      <w:r>
        <w:rPr>
          <w:rFonts w:hint="eastAsia" w:ascii="仿宋_GB2312" w:eastAsia="仿宋_GB2312" w:hAnsiTheme="minorEastAsia"/>
          <w:sz w:val="32"/>
          <w:szCs w:val="32"/>
        </w:rPr>
        <w:t>大力推动“互联网+”高效物流，鼓励创新</w:t>
      </w:r>
      <w:r>
        <w:rPr>
          <w:rFonts w:ascii="仿宋_GB2312" w:eastAsia="仿宋_GB2312" w:hAnsiTheme="minorEastAsia"/>
          <w:sz w:val="32"/>
          <w:szCs w:val="32"/>
        </w:rPr>
        <w:t>物流发展</w:t>
      </w:r>
      <w:r>
        <w:rPr>
          <w:rFonts w:hint="eastAsia" w:ascii="仿宋_GB2312" w:eastAsia="仿宋_GB2312" w:hAnsiTheme="minorEastAsia"/>
          <w:sz w:val="32"/>
          <w:szCs w:val="32"/>
        </w:rPr>
        <w:t>新</w:t>
      </w:r>
      <w:r>
        <w:rPr>
          <w:rFonts w:ascii="仿宋_GB2312" w:eastAsia="仿宋_GB2312" w:hAnsiTheme="minorEastAsia"/>
          <w:sz w:val="32"/>
          <w:szCs w:val="32"/>
        </w:rPr>
        <w:t>业态、新模式</w:t>
      </w:r>
      <w:r>
        <w:rPr>
          <w:rFonts w:hint="eastAsia" w:ascii="仿宋_GB2312" w:eastAsia="仿宋_GB2312" w:hAnsiTheme="minorEastAsia"/>
          <w:sz w:val="32"/>
          <w:szCs w:val="32"/>
        </w:rPr>
        <w:t>，</w:t>
      </w:r>
      <w:r>
        <w:rPr>
          <w:rFonts w:ascii="仿宋_GB2312" w:eastAsia="仿宋_GB2312" w:hAnsiTheme="minorEastAsia"/>
          <w:sz w:val="32"/>
          <w:szCs w:val="32"/>
        </w:rPr>
        <w:t>推动物流标准化建设，</w:t>
      </w:r>
      <w:r>
        <w:rPr>
          <w:rFonts w:hint="eastAsia" w:ascii="仿宋_GB2312" w:eastAsia="仿宋_GB2312" w:hAnsiTheme="minorEastAsia"/>
          <w:sz w:val="32"/>
          <w:szCs w:val="32"/>
        </w:rPr>
        <w:t>提升</w:t>
      </w:r>
      <w:r>
        <w:rPr>
          <w:rFonts w:ascii="仿宋_GB2312" w:eastAsia="仿宋_GB2312" w:hAnsiTheme="minorEastAsia"/>
          <w:sz w:val="32"/>
          <w:szCs w:val="32"/>
        </w:rPr>
        <w:t>物流运行</w:t>
      </w:r>
      <w:r>
        <w:rPr>
          <w:rFonts w:hint="eastAsia" w:ascii="仿宋_GB2312" w:eastAsia="仿宋_GB2312" w:hAnsiTheme="minorEastAsia"/>
          <w:sz w:val="32"/>
          <w:szCs w:val="32"/>
        </w:rPr>
        <w:t>效率。</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协同联动、融合发展。</w:t>
      </w:r>
      <w:r>
        <w:rPr>
          <w:rFonts w:hint="eastAsia" w:ascii="仿宋_GB2312" w:eastAsia="仿宋_GB2312" w:hAnsiTheme="minorEastAsia"/>
          <w:sz w:val="32"/>
          <w:szCs w:val="32"/>
        </w:rPr>
        <w:t>强化部门间</w:t>
      </w:r>
      <w:r>
        <w:rPr>
          <w:rFonts w:ascii="仿宋_GB2312" w:eastAsia="仿宋_GB2312" w:hAnsiTheme="minorEastAsia"/>
          <w:sz w:val="32"/>
          <w:szCs w:val="32"/>
        </w:rPr>
        <w:t>、区域间、</w:t>
      </w:r>
      <w:r>
        <w:rPr>
          <w:rFonts w:hint="eastAsia" w:ascii="仿宋_GB2312" w:eastAsia="仿宋_GB2312" w:hAnsiTheme="minorEastAsia"/>
          <w:sz w:val="32"/>
          <w:szCs w:val="32"/>
        </w:rPr>
        <w:t>政企、</w:t>
      </w:r>
      <w:r>
        <w:rPr>
          <w:rFonts w:ascii="仿宋_GB2312" w:eastAsia="仿宋_GB2312" w:hAnsiTheme="minorEastAsia"/>
          <w:sz w:val="32"/>
          <w:szCs w:val="32"/>
        </w:rPr>
        <w:t>企业间</w:t>
      </w:r>
      <w:r>
        <w:rPr>
          <w:rFonts w:hint="eastAsia" w:ascii="仿宋_GB2312" w:eastAsia="仿宋_GB2312" w:hAnsiTheme="minorEastAsia"/>
          <w:sz w:val="32"/>
          <w:szCs w:val="32"/>
        </w:rPr>
        <w:t>协同</w:t>
      </w:r>
      <w:r>
        <w:rPr>
          <w:rFonts w:ascii="仿宋_GB2312" w:eastAsia="仿宋_GB2312" w:hAnsiTheme="minorEastAsia"/>
          <w:sz w:val="32"/>
          <w:szCs w:val="32"/>
        </w:rPr>
        <w:t>联通，共同</w:t>
      </w:r>
      <w:r>
        <w:rPr>
          <w:rFonts w:hint="eastAsia" w:ascii="仿宋_GB2312" w:eastAsia="仿宋_GB2312" w:hAnsiTheme="minorEastAsia"/>
          <w:sz w:val="32"/>
          <w:szCs w:val="32"/>
        </w:rPr>
        <w:t>推进</w:t>
      </w:r>
      <w:r>
        <w:rPr>
          <w:rFonts w:ascii="仿宋_GB2312" w:eastAsia="仿宋_GB2312" w:hAnsiTheme="minorEastAsia"/>
          <w:sz w:val="32"/>
          <w:szCs w:val="32"/>
        </w:rPr>
        <w:t>解决主要问题，</w:t>
      </w:r>
      <w:r>
        <w:rPr>
          <w:rFonts w:hint="eastAsia" w:ascii="仿宋_GB2312" w:eastAsia="仿宋_GB2312" w:hAnsiTheme="minorEastAsia"/>
          <w:sz w:val="32"/>
          <w:szCs w:val="32"/>
        </w:rPr>
        <w:t>推动物流与制造、</w:t>
      </w:r>
      <w:r>
        <w:rPr>
          <w:rFonts w:ascii="仿宋_GB2312" w:eastAsia="仿宋_GB2312" w:hAnsiTheme="minorEastAsia"/>
          <w:sz w:val="32"/>
          <w:szCs w:val="32"/>
        </w:rPr>
        <w:t>交</w:t>
      </w:r>
      <w:r>
        <w:rPr>
          <w:rFonts w:hint="eastAsia" w:ascii="仿宋_GB2312" w:eastAsia="仿宋_GB2312" w:hAnsiTheme="minorEastAsia"/>
          <w:sz w:val="32"/>
          <w:szCs w:val="32"/>
        </w:rPr>
        <w:t>通</w:t>
      </w:r>
      <w:r>
        <w:rPr>
          <w:rFonts w:ascii="仿宋_GB2312" w:eastAsia="仿宋_GB2312" w:hAnsiTheme="minorEastAsia"/>
          <w:sz w:val="32"/>
          <w:szCs w:val="32"/>
        </w:rPr>
        <w:t>、商贸</w:t>
      </w:r>
      <w:r>
        <w:rPr>
          <w:rFonts w:hint="eastAsia" w:ascii="仿宋_GB2312" w:eastAsia="仿宋_GB2312" w:hAnsiTheme="minorEastAsia"/>
          <w:sz w:val="32"/>
          <w:szCs w:val="32"/>
        </w:rPr>
        <w:t>等行业深度</w:t>
      </w:r>
      <w:r>
        <w:rPr>
          <w:rFonts w:ascii="仿宋_GB2312" w:eastAsia="仿宋_GB2312" w:hAnsiTheme="minorEastAsia"/>
          <w:sz w:val="32"/>
          <w:szCs w:val="32"/>
        </w:rPr>
        <w:t>融合，</w:t>
      </w:r>
      <w:r>
        <w:rPr>
          <w:rFonts w:hint="eastAsia" w:ascii="仿宋_GB2312" w:eastAsia="仿宋_GB2312" w:hAnsiTheme="minorEastAsia"/>
          <w:sz w:val="32"/>
          <w:szCs w:val="32"/>
        </w:rPr>
        <w:t>实现物流链、产业链融合发展。</w:t>
      </w:r>
    </w:p>
    <w:p>
      <w:pPr>
        <w:pStyle w:val="3"/>
        <w:rPr>
          <w:rFonts w:ascii="楷体" w:hAnsi="楷体" w:eastAsia="楷体"/>
        </w:rPr>
      </w:pPr>
      <w:bookmarkStart w:id="77" w:name="_Toc6551641"/>
      <w:bookmarkStart w:id="78" w:name="_Toc7300028"/>
      <w:bookmarkStart w:id="79" w:name="_Toc7300070"/>
      <w:r>
        <w:rPr>
          <w:rFonts w:hint="eastAsia" w:ascii="楷体" w:hAnsi="楷体" w:eastAsia="楷体"/>
        </w:rPr>
        <w:t>3.3总体目标</w:t>
      </w:r>
      <w:bookmarkEnd w:id="77"/>
      <w:bookmarkEnd w:id="78"/>
      <w:bookmarkEnd w:id="79"/>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通过</w:t>
      </w:r>
      <w:r>
        <w:rPr>
          <w:rFonts w:ascii="仿宋_GB2312" w:eastAsia="仿宋_GB2312" w:hAnsiTheme="minorEastAsia"/>
          <w:sz w:val="32"/>
          <w:szCs w:val="32"/>
        </w:rPr>
        <w:t>本次试点</w:t>
      </w:r>
      <w:r>
        <w:rPr>
          <w:rFonts w:hint="eastAsia" w:ascii="仿宋_GB2312" w:eastAsia="仿宋_GB2312" w:hAnsiTheme="minorEastAsia"/>
          <w:sz w:val="32"/>
          <w:szCs w:val="32"/>
        </w:rPr>
        <w:t>工作</w:t>
      </w:r>
      <w:r>
        <w:rPr>
          <w:rFonts w:ascii="仿宋_GB2312" w:eastAsia="仿宋_GB2312" w:hAnsiTheme="minorEastAsia"/>
          <w:sz w:val="32"/>
          <w:szCs w:val="32"/>
        </w:rPr>
        <w:t>，</w:t>
      </w:r>
      <w:r>
        <w:rPr>
          <w:rFonts w:hint="eastAsia" w:ascii="仿宋_GB2312" w:eastAsia="仿宋_GB2312" w:hAnsiTheme="minorEastAsia"/>
          <w:sz w:val="32"/>
          <w:szCs w:val="32"/>
        </w:rPr>
        <w:t>形成</w:t>
      </w:r>
      <w:r>
        <w:rPr>
          <w:rFonts w:ascii="仿宋_GB2312" w:eastAsia="仿宋_GB2312" w:hAnsiTheme="minorEastAsia"/>
          <w:sz w:val="32"/>
          <w:szCs w:val="32"/>
        </w:rPr>
        <w:t>可</w:t>
      </w:r>
      <w:r>
        <w:rPr>
          <w:rFonts w:hint="eastAsia" w:ascii="仿宋_GB2312" w:eastAsia="仿宋_GB2312" w:hAnsiTheme="minorEastAsia"/>
          <w:sz w:val="32"/>
          <w:szCs w:val="32"/>
        </w:rPr>
        <w:t>向</w:t>
      </w:r>
      <w:r>
        <w:rPr>
          <w:rFonts w:ascii="仿宋_GB2312" w:eastAsia="仿宋_GB2312" w:hAnsiTheme="minorEastAsia"/>
          <w:sz w:val="32"/>
          <w:szCs w:val="32"/>
        </w:rPr>
        <w:t>全国复制</w:t>
      </w:r>
      <w:r>
        <w:rPr>
          <w:rFonts w:hint="eastAsia" w:ascii="仿宋_GB2312" w:eastAsia="仿宋_GB2312" w:hAnsiTheme="minorEastAsia"/>
          <w:sz w:val="32"/>
          <w:szCs w:val="32"/>
        </w:rPr>
        <w:t>推广的</w:t>
      </w:r>
      <w:r>
        <w:rPr>
          <w:rFonts w:ascii="仿宋_GB2312" w:eastAsia="仿宋_GB2312" w:hAnsiTheme="minorEastAsia"/>
          <w:sz w:val="32"/>
          <w:szCs w:val="32"/>
        </w:rPr>
        <w:t>物流降本增效</w:t>
      </w:r>
      <w:r>
        <w:rPr>
          <w:rFonts w:hint="eastAsia" w:ascii="仿宋_GB2312" w:eastAsia="仿宋_GB2312" w:hAnsiTheme="minorEastAsia"/>
          <w:sz w:val="32"/>
          <w:szCs w:val="32"/>
        </w:rPr>
        <w:t>经验，湖南省</w:t>
      </w:r>
      <w:r>
        <w:rPr>
          <w:rFonts w:ascii="仿宋_GB2312" w:eastAsia="仿宋_GB2312" w:hAnsiTheme="minorEastAsia"/>
          <w:sz w:val="32"/>
          <w:szCs w:val="32"/>
        </w:rPr>
        <w:t>物流业</w:t>
      </w:r>
      <w:r>
        <w:rPr>
          <w:rFonts w:hint="eastAsia" w:ascii="仿宋_GB2312" w:eastAsia="仿宋_GB2312" w:hAnsiTheme="minorEastAsia"/>
          <w:sz w:val="32"/>
          <w:szCs w:val="32"/>
        </w:rPr>
        <w:t>降本</w:t>
      </w:r>
      <w:r>
        <w:rPr>
          <w:rFonts w:ascii="仿宋_GB2312" w:eastAsia="仿宋_GB2312" w:hAnsiTheme="minorEastAsia"/>
          <w:sz w:val="32"/>
          <w:szCs w:val="32"/>
        </w:rPr>
        <w:t>增效取得明显成效</w:t>
      </w:r>
      <w:r>
        <w:rPr>
          <w:rFonts w:hint="eastAsia" w:ascii="仿宋_GB2312" w:eastAsia="仿宋_GB2312" w:hAnsiTheme="minorEastAsia"/>
          <w:sz w:val="32"/>
          <w:szCs w:val="32"/>
        </w:rPr>
        <w:t>，实现物流营商环境更好、物流链上下游衔接更畅，物流</w:t>
      </w:r>
      <w:r>
        <w:rPr>
          <w:rFonts w:ascii="仿宋_GB2312" w:eastAsia="仿宋_GB2312" w:hAnsiTheme="minorEastAsia"/>
          <w:sz w:val="32"/>
          <w:szCs w:val="32"/>
        </w:rPr>
        <w:t>运行效率</w:t>
      </w:r>
      <w:r>
        <w:rPr>
          <w:rFonts w:hint="eastAsia" w:ascii="仿宋_GB2312" w:eastAsia="仿宋_GB2312" w:hAnsiTheme="minorEastAsia"/>
          <w:sz w:val="32"/>
          <w:szCs w:val="32"/>
        </w:rPr>
        <w:t>更高，逐步建立与湖南省高质量发展相匹配的物流服务体系，物流服务实体经济发展的能力显著增强。</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——物流营商环境</w:t>
      </w:r>
      <w:r>
        <w:rPr>
          <w:rFonts w:ascii="仿宋_GB2312" w:eastAsia="仿宋_GB2312" w:hAnsiTheme="minorEastAsia"/>
          <w:b/>
          <w:sz w:val="32"/>
          <w:szCs w:val="32"/>
        </w:rPr>
        <w:t>进一步优化</w:t>
      </w:r>
      <w:r>
        <w:rPr>
          <w:rFonts w:hint="eastAsia" w:ascii="仿宋_GB2312" w:eastAsia="仿宋_GB2312" w:hAnsiTheme="minorEastAsia"/>
          <w:b/>
          <w:sz w:val="32"/>
          <w:szCs w:val="32"/>
        </w:rPr>
        <w:t>。</w:t>
      </w:r>
      <w:r>
        <w:rPr>
          <w:rFonts w:ascii="仿宋_GB2312" w:eastAsia="仿宋_GB2312" w:hAnsiTheme="minorEastAsia"/>
          <w:sz w:val="32"/>
          <w:szCs w:val="32"/>
        </w:rPr>
        <w:t>物流</w:t>
      </w:r>
      <w:r>
        <w:rPr>
          <w:rFonts w:hint="eastAsia" w:ascii="仿宋_GB2312" w:eastAsia="仿宋_GB2312" w:hAnsiTheme="minorEastAsia"/>
          <w:sz w:val="32"/>
          <w:szCs w:val="32"/>
        </w:rPr>
        <w:t>业行政审批</w:t>
      </w:r>
      <w:r>
        <w:rPr>
          <w:rFonts w:ascii="仿宋_GB2312" w:eastAsia="仿宋_GB2312" w:hAnsiTheme="minorEastAsia"/>
          <w:sz w:val="32"/>
          <w:szCs w:val="32"/>
        </w:rPr>
        <w:t>流程</w:t>
      </w:r>
      <w:r>
        <w:rPr>
          <w:rFonts w:hint="eastAsia" w:ascii="仿宋_GB2312" w:eastAsia="仿宋_GB2312" w:hAnsiTheme="minorEastAsia"/>
          <w:sz w:val="32"/>
          <w:szCs w:val="32"/>
        </w:rPr>
        <w:t>得到</w:t>
      </w:r>
      <w:r>
        <w:rPr>
          <w:rFonts w:ascii="仿宋_GB2312" w:eastAsia="仿宋_GB2312" w:hAnsiTheme="minorEastAsia"/>
          <w:sz w:val="32"/>
          <w:szCs w:val="32"/>
        </w:rPr>
        <w:t>优化，</w:t>
      </w:r>
      <w:r>
        <w:rPr>
          <w:rFonts w:hint="eastAsia" w:ascii="仿宋_GB2312" w:eastAsia="仿宋_GB2312" w:hAnsiTheme="minorEastAsia"/>
          <w:sz w:val="32"/>
          <w:szCs w:val="32"/>
        </w:rPr>
        <w:t>体制机制</w:t>
      </w:r>
      <w:r>
        <w:rPr>
          <w:rFonts w:ascii="仿宋_GB2312" w:eastAsia="仿宋_GB2312" w:hAnsiTheme="minorEastAsia"/>
          <w:sz w:val="32"/>
          <w:szCs w:val="32"/>
        </w:rPr>
        <w:t>约束基本消除</w:t>
      </w:r>
      <w:r>
        <w:rPr>
          <w:rFonts w:hint="eastAsia" w:ascii="仿宋_GB2312" w:eastAsia="仿宋_GB2312" w:hAnsiTheme="minorEastAsia"/>
          <w:sz w:val="32"/>
          <w:szCs w:val="32"/>
        </w:rPr>
        <w:t>，</w:t>
      </w:r>
      <w:r>
        <w:rPr>
          <w:rFonts w:ascii="仿宋_GB2312" w:eastAsia="仿宋_GB2312" w:hAnsiTheme="minorEastAsia"/>
          <w:sz w:val="32"/>
          <w:szCs w:val="32"/>
        </w:rPr>
        <w:t>土地支持政策更加完善，</w:t>
      </w:r>
      <w:r>
        <w:rPr>
          <w:rFonts w:hint="eastAsia" w:ascii="仿宋_GB2312" w:eastAsia="仿宋_GB2312" w:hAnsiTheme="minorEastAsia"/>
          <w:sz w:val="32"/>
          <w:szCs w:val="32"/>
        </w:rPr>
        <w:t>融资渠道</w:t>
      </w:r>
      <w:r>
        <w:rPr>
          <w:rFonts w:ascii="仿宋_GB2312" w:eastAsia="仿宋_GB2312" w:hAnsiTheme="minorEastAsia"/>
          <w:sz w:val="32"/>
          <w:szCs w:val="32"/>
        </w:rPr>
        <w:t>更加顺畅，</w:t>
      </w:r>
      <w:r>
        <w:rPr>
          <w:rFonts w:hint="eastAsia" w:ascii="仿宋_GB2312" w:eastAsia="仿宋_GB2312" w:hAnsiTheme="minorEastAsia"/>
          <w:sz w:val="32"/>
          <w:szCs w:val="32"/>
        </w:rPr>
        <w:t>乱收费、乱罚款状况得到根本改变，有利于物流业创新发展的生态体系基本形成。</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——企业综合实力进一步</w:t>
      </w:r>
      <w:r>
        <w:rPr>
          <w:rFonts w:ascii="仿宋_GB2312" w:eastAsia="仿宋_GB2312" w:hAnsiTheme="minorEastAsia"/>
          <w:b/>
          <w:sz w:val="32"/>
          <w:szCs w:val="32"/>
        </w:rPr>
        <w:t>提升</w:t>
      </w:r>
      <w:r>
        <w:rPr>
          <w:rFonts w:hint="eastAsia" w:ascii="仿宋_GB2312" w:eastAsia="仿宋_GB2312" w:hAnsiTheme="minorEastAsia"/>
          <w:b/>
          <w:sz w:val="32"/>
          <w:szCs w:val="32"/>
        </w:rPr>
        <w:t>。</w:t>
      </w:r>
      <w:r>
        <w:rPr>
          <w:rFonts w:hint="eastAsia" w:ascii="仿宋_GB2312" w:eastAsia="仿宋_GB2312" w:hAnsiTheme="minorEastAsia"/>
          <w:sz w:val="32"/>
          <w:szCs w:val="32"/>
        </w:rPr>
        <w:t>物流企业</w:t>
      </w:r>
      <w:r>
        <w:rPr>
          <w:rFonts w:ascii="仿宋_GB2312" w:eastAsia="仿宋_GB2312" w:hAnsiTheme="minorEastAsia"/>
          <w:sz w:val="32"/>
          <w:szCs w:val="32"/>
        </w:rPr>
        <w:t>一体化运作、网络化经营能力显著增强，</w:t>
      </w:r>
      <w:r>
        <w:rPr>
          <w:rFonts w:hint="eastAsia" w:ascii="仿宋_GB2312" w:eastAsia="仿宋_GB2312" w:hAnsiTheme="minorEastAsia"/>
          <w:sz w:val="32"/>
          <w:szCs w:val="32"/>
        </w:rPr>
        <w:t>企业创新</w:t>
      </w:r>
      <w:r>
        <w:rPr>
          <w:rFonts w:ascii="仿宋_GB2312" w:eastAsia="仿宋_GB2312" w:hAnsiTheme="minorEastAsia"/>
          <w:sz w:val="32"/>
          <w:szCs w:val="32"/>
        </w:rPr>
        <w:t>能力、综合竞争能力进一步增强，</w:t>
      </w:r>
      <w:r>
        <w:rPr>
          <w:rFonts w:hint="eastAsia" w:ascii="仿宋_GB2312" w:eastAsia="仿宋_GB2312" w:hAnsiTheme="minorEastAsia"/>
          <w:sz w:val="32"/>
          <w:szCs w:val="32"/>
        </w:rPr>
        <w:t>在省内形成</w:t>
      </w:r>
      <w:r>
        <w:rPr>
          <w:rFonts w:ascii="仿宋_GB2312" w:eastAsia="仿宋_GB2312" w:hAnsiTheme="minorEastAsia"/>
          <w:sz w:val="32"/>
          <w:szCs w:val="32"/>
        </w:rPr>
        <w:t>一批</w:t>
      </w:r>
      <w:r>
        <w:rPr>
          <w:rFonts w:hint="eastAsia" w:ascii="仿宋_GB2312" w:eastAsia="仿宋_GB2312" w:hAnsiTheme="minorEastAsia"/>
          <w:sz w:val="32"/>
          <w:szCs w:val="32"/>
        </w:rPr>
        <w:t>基于供应链服务</w:t>
      </w:r>
      <w:r>
        <w:rPr>
          <w:rFonts w:ascii="仿宋_GB2312" w:eastAsia="仿宋_GB2312" w:hAnsiTheme="minorEastAsia"/>
          <w:sz w:val="32"/>
          <w:szCs w:val="32"/>
        </w:rPr>
        <w:t>的</w:t>
      </w:r>
      <w:r>
        <w:rPr>
          <w:rFonts w:hint="eastAsia" w:ascii="仿宋_GB2312" w:eastAsia="仿宋_GB2312" w:hAnsiTheme="minorEastAsia"/>
          <w:sz w:val="32"/>
          <w:szCs w:val="32"/>
        </w:rPr>
        <w:t>综合型</w:t>
      </w:r>
      <w:r>
        <w:rPr>
          <w:rFonts w:ascii="仿宋_GB2312" w:eastAsia="仿宋_GB2312" w:hAnsiTheme="minorEastAsia"/>
          <w:sz w:val="32"/>
          <w:szCs w:val="32"/>
        </w:rPr>
        <w:t>物流</w:t>
      </w:r>
      <w:r>
        <w:rPr>
          <w:rFonts w:hint="eastAsia" w:ascii="仿宋_GB2312" w:eastAsia="仿宋_GB2312" w:hAnsiTheme="minorEastAsia"/>
          <w:sz w:val="32"/>
          <w:szCs w:val="32"/>
        </w:rPr>
        <w:t>龙头</w:t>
      </w:r>
      <w:r>
        <w:rPr>
          <w:rFonts w:ascii="仿宋_GB2312" w:eastAsia="仿宋_GB2312" w:hAnsiTheme="minorEastAsia"/>
          <w:sz w:val="32"/>
          <w:szCs w:val="32"/>
        </w:rPr>
        <w:t>企业</w:t>
      </w:r>
      <w:r>
        <w:rPr>
          <w:rFonts w:hint="eastAsia" w:ascii="仿宋_GB2312" w:eastAsia="仿宋_GB2312" w:hAnsiTheme="minorEastAsia"/>
          <w:sz w:val="32"/>
          <w:szCs w:val="32"/>
        </w:rPr>
        <w:t>。多式联运、甩挂运输、共同配送等先进物流运输组织方式加快发展，信息化、标准化、集装化水平显著提升。车辆运输车等重型载货汽车标准化率达到80%。</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——服务</w:t>
      </w:r>
      <w:r>
        <w:rPr>
          <w:rFonts w:ascii="仿宋_GB2312" w:eastAsia="仿宋_GB2312" w:hAnsiTheme="minorEastAsia"/>
          <w:b/>
          <w:sz w:val="32"/>
          <w:szCs w:val="32"/>
        </w:rPr>
        <w:t>经济能力</w:t>
      </w:r>
      <w:r>
        <w:rPr>
          <w:rFonts w:hint="eastAsia" w:ascii="仿宋_GB2312" w:eastAsia="仿宋_GB2312" w:hAnsiTheme="minorEastAsia"/>
          <w:b/>
          <w:sz w:val="32"/>
          <w:szCs w:val="32"/>
        </w:rPr>
        <w:t>进一步</w:t>
      </w:r>
      <w:r>
        <w:rPr>
          <w:rFonts w:ascii="仿宋_GB2312" w:eastAsia="仿宋_GB2312" w:hAnsiTheme="minorEastAsia"/>
          <w:b/>
          <w:sz w:val="32"/>
          <w:szCs w:val="32"/>
        </w:rPr>
        <w:t>增强</w:t>
      </w:r>
      <w:r>
        <w:rPr>
          <w:rFonts w:hint="eastAsia" w:ascii="仿宋_GB2312" w:eastAsia="仿宋_GB2312" w:hAnsiTheme="minorEastAsia"/>
          <w:b/>
          <w:sz w:val="32"/>
          <w:szCs w:val="32"/>
        </w:rPr>
        <w:t>。</w:t>
      </w:r>
      <w:r>
        <w:rPr>
          <w:rFonts w:hint="eastAsia" w:ascii="仿宋_GB2312" w:eastAsia="仿宋_GB2312" w:hAnsiTheme="minorEastAsia"/>
          <w:sz w:val="32"/>
          <w:szCs w:val="32"/>
        </w:rPr>
        <w:t>物流与</w:t>
      </w:r>
      <w:r>
        <w:rPr>
          <w:rFonts w:ascii="仿宋_GB2312" w:eastAsia="仿宋_GB2312" w:hAnsiTheme="minorEastAsia"/>
          <w:sz w:val="32"/>
          <w:szCs w:val="32"/>
        </w:rPr>
        <w:t>、</w:t>
      </w:r>
      <w:r>
        <w:rPr>
          <w:rFonts w:hint="eastAsia" w:ascii="仿宋_GB2312" w:eastAsia="仿宋_GB2312" w:hAnsiTheme="minorEastAsia"/>
          <w:sz w:val="32"/>
          <w:szCs w:val="32"/>
        </w:rPr>
        <w:t>制造</w:t>
      </w:r>
      <w:r>
        <w:rPr>
          <w:rFonts w:ascii="仿宋_GB2312" w:eastAsia="仿宋_GB2312" w:hAnsiTheme="minorEastAsia"/>
          <w:sz w:val="32"/>
          <w:szCs w:val="32"/>
        </w:rPr>
        <w:t>、交通、商贸等行业融合发展</w:t>
      </w:r>
      <w:r>
        <w:rPr>
          <w:rFonts w:hint="eastAsia" w:ascii="仿宋_GB2312" w:eastAsia="仿宋_GB2312" w:hAnsiTheme="minorEastAsia"/>
          <w:sz w:val="32"/>
          <w:szCs w:val="32"/>
        </w:rPr>
        <w:t>取得较大进展，物流业</w:t>
      </w:r>
      <w:r>
        <w:rPr>
          <w:rFonts w:ascii="仿宋_GB2312" w:eastAsia="仿宋_GB2312" w:hAnsiTheme="minorEastAsia"/>
          <w:sz w:val="32"/>
          <w:szCs w:val="32"/>
        </w:rPr>
        <w:t>服务经济社会发展的能力显著增强。</w:t>
      </w:r>
      <w:r>
        <w:rPr>
          <w:rFonts w:hint="eastAsia" w:ascii="仿宋_GB2312" w:eastAsia="仿宋_GB2312" w:hAnsiTheme="minorEastAsia"/>
          <w:sz w:val="32"/>
          <w:szCs w:val="32"/>
        </w:rPr>
        <w:t>湖南省物流总费用占国内生产总值（GDP）的比重较2015年降低1个百分点以上。</w:t>
      </w:r>
    </w:p>
    <w:p>
      <w:pPr>
        <w:pStyle w:val="3"/>
        <w:rPr>
          <w:rFonts w:ascii="楷体" w:hAnsi="楷体" w:eastAsia="楷体"/>
        </w:rPr>
      </w:pPr>
      <w:bookmarkStart w:id="80" w:name="_Toc7300029"/>
      <w:bookmarkStart w:id="81" w:name="_Toc7300071"/>
      <w:r>
        <w:rPr>
          <w:rFonts w:hint="eastAsia" w:ascii="楷体" w:hAnsi="楷体" w:eastAsia="楷体"/>
        </w:rPr>
        <w:t>3.</w:t>
      </w:r>
      <w:r>
        <w:rPr>
          <w:rFonts w:ascii="楷体" w:hAnsi="楷体" w:eastAsia="楷体"/>
        </w:rPr>
        <w:t>4</w:t>
      </w:r>
      <w:r>
        <w:rPr>
          <w:rFonts w:hint="eastAsia" w:ascii="楷体" w:hAnsi="楷体" w:eastAsia="楷体"/>
        </w:rPr>
        <w:t>实施步骤</w:t>
      </w:r>
      <w:r>
        <w:rPr>
          <w:rFonts w:ascii="楷体" w:hAnsi="楷体" w:eastAsia="楷体"/>
        </w:rPr>
        <w:t>及预期成效</w:t>
      </w:r>
      <w:bookmarkEnd w:id="80"/>
      <w:bookmarkEnd w:id="81"/>
    </w:p>
    <w:p>
      <w:pPr>
        <w:pStyle w:val="6"/>
        <w:adjustRightInd w:val="0"/>
        <w:snapToGrid w:val="0"/>
        <w:spacing w:line="360" w:lineRule="auto"/>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第一步：建立</w:t>
      </w:r>
      <w:r>
        <w:rPr>
          <w:rFonts w:ascii="仿宋_GB2312" w:eastAsia="仿宋_GB2312" w:hAnsiTheme="minorEastAsia"/>
          <w:b/>
          <w:sz w:val="32"/>
          <w:szCs w:val="32"/>
        </w:rPr>
        <w:t>试点工作联席会议</w:t>
      </w:r>
      <w:r>
        <w:rPr>
          <w:rFonts w:hint="eastAsia" w:ascii="仿宋_GB2312" w:eastAsia="仿宋_GB2312" w:hAnsiTheme="minorEastAsia"/>
          <w:b/>
          <w:sz w:val="32"/>
          <w:szCs w:val="32"/>
        </w:rPr>
        <w:t>制度，</w:t>
      </w:r>
      <w:r>
        <w:rPr>
          <w:rFonts w:ascii="仿宋_GB2312" w:eastAsia="仿宋_GB2312" w:hAnsiTheme="minorEastAsia"/>
          <w:b/>
          <w:sz w:val="32"/>
          <w:szCs w:val="32"/>
        </w:rPr>
        <w:t>构建</w:t>
      </w:r>
      <w:r>
        <w:rPr>
          <w:rFonts w:hint="eastAsia" w:ascii="仿宋_GB2312" w:eastAsia="仿宋_GB2312" w:hAnsiTheme="minorEastAsia"/>
          <w:b/>
          <w:sz w:val="32"/>
          <w:szCs w:val="32"/>
        </w:rPr>
        <w:t>试点</w:t>
      </w:r>
      <w:r>
        <w:rPr>
          <w:rFonts w:ascii="仿宋_GB2312" w:eastAsia="仿宋_GB2312" w:hAnsiTheme="minorEastAsia"/>
          <w:b/>
          <w:sz w:val="32"/>
          <w:szCs w:val="32"/>
        </w:rPr>
        <w:t>推进领导小组</w:t>
      </w:r>
    </w:p>
    <w:p>
      <w:pPr>
        <w:pStyle w:val="6"/>
        <w:adjustRightInd w:val="0"/>
        <w:snapToGrid w:val="0"/>
        <w:spacing w:line="360" w:lineRule="auto"/>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湖南省政府拟建立湖南省物流降本增效试点工作联席会议制度。联席会议成员单位包括发改、交通、财政、工信、商务、公安、自然资源、住建、金融办、税务、邮政等。</w:t>
      </w:r>
    </w:p>
    <w:p>
      <w:pPr>
        <w:pStyle w:val="6"/>
        <w:adjustRightInd w:val="0"/>
        <w:snapToGrid w:val="0"/>
        <w:spacing w:line="360" w:lineRule="auto"/>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第二步：深化“</w:t>
      </w:r>
      <w:r>
        <w:rPr>
          <w:rFonts w:ascii="仿宋_GB2312" w:eastAsia="仿宋_GB2312" w:hAnsiTheme="minorEastAsia"/>
          <w:b/>
          <w:sz w:val="32"/>
          <w:szCs w:val="32"/>
        </w:rPr>
        <w:t>放管服</w:t>
      </w:r>
      <w:r>
        <w:rPr>
          <w:rFonts w:hint="eastAsia" w:ascii="仿宋_GB2312" w:eastAsia="仿宋_GB2312" w:hAnsiTheme="minorEastAsia"/>
          <w:b/>
          <w:sz w:val="32"/>
          <w:szCs w:val="32"/>
        </w:rPr>
        <w:t>”</w:t>
      </w:r>
      <w:r>
        <w:rPr>
          <w:rFonts w:ascii="仿宋_GB2312" w:eastAsia="仿宋_GB2312" w:hAnsiTheme="minorEastAsia"/>
          <w:b/>
          <w:sz w:val="32"/>
          <w:szCs w:val="32"/>
        </w:rPr>
        <w:t>改革，提</w:t>
      </w:r>
      <w:r>
        <w:rPr>
          <w:rFonts w:hint="eastAsia" w:ascii="仿宋_GB2312" w:eastAsia="仿宋_GB2312" w:hAnsiTheme="minorEastAsia"/>
          <w:b/>
          <w:sz w:val="32"/>
          <w:szCs w:val="32"/>
        </w:rPr>
        <w:t>高</w:t>
      </w:r>
      <w:r>
        <w:rPr>
          <w:rFonts w:ascii="仿宋_GB2312" w:eastAsia="仿宋_GB2312" w:hAnsiTheme="minorEastAsia"/>
          <w:b/>
          <w:sz w:val="32"/>
          <w:szCs w:val="32"/>
        </w:rPr>
        <w:t>政府服务能力</w:t>
      </w:r>
      <w:r>
        <w:rPr>
          <w:rFonts w:hint="eastAsia" w:ascii="仿宋_GB2312" w:eastAsia="仿宋_GB2312" w:hAnsiTheme="minorEastAsia"/>
          <w:b/>
          <w:sz w:val="32"/>
          <w:szCs w:val="32"/>
        </w:rPr>
        <w:t>，</w:t>
      </w:r>
      <w:r>
        <w:rPr>
          <w:rFonts w:ascii="仿宋_GB2312" w:eastAsia="仿宋_GB2312" w:hAnsiTheme="minorEastAsia"/>
          <w:b/>
          <w:sz w:val="32"/>
          <w:szCs w:val="32"/>
        </w:rPr>
        <w:t>实现降</w:t>
      </w:r>
      <w:r>
        <w:rPr>
          <w:rFonts w:hint="eastAsia" w:ascii="仿宋_GB2312" w:eastAsia="仿宋_GB2312" w:hAnsiTheme="minorEastAsia"/>
          <w:b/>
          <w:sz w:val="32"/>
          <w:szCs w:val="32"/>
        </w:rPr>
        <w:t>费用</w:t>
      </w:r>
    </w:p>
    <w:p>
      <w:pPr>
        <w:pStyle w:val="6"/>
        <w:adjustRightInd w:val="0"/>
        <w:snapToGrid w:val="0"/>
        <w:spacing w:line="360" w:lineRule="auto"/>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在</w:t>
      </w:r>
      <w:r>
        <w:rPr>
          <w:rFonts w:ascii="仿宋_GB2312" w:eastAsia="仿宋_GB2312" w:hAnsiTheme="minorEastAsia"/>
          <w:sz w:val="32"/>
          <w:szCs w:val="32"/>
        </w:rPr>
        <w:t>联席会议办公室的领导下，</w:t>
      </w:r>
      <w:r>
        <w:rPr>
          <w:rFonts w:hint="eastAsia" w:ascii="仿宋_GB2312" w:eastAsia="仿宋_GB2312" w:hAnsiTheme="minorEastAsia"/>
          <w:sz w:val="32"/>
          <w:szCs w:val="32"/>
        </w:rPr>
        <w:t>政府</w:t>
      </w:r>
      <w:r>
        <w:rPr>
          <w:rFonts w:ascii="仿宋_GB2312" w:eastAsia="仿宋_GB2312" w:hAnsiTheme="minorEastAsia"/>
          <w:sz w:val="32"/>
          <w:szCs w:val="32"/>
        </w:rPr>
        <w:t>各</w:t>
      </w:r>
      <w:r>
        <w:rPr>
          <w:rFonts w:hint="eastAsia" w:ascii="仿宋_GB2312" w:eastAsia="仿宋_GB2312" w:hAnsiTheme="minorEastAsia"/>
          <w:sz w:val="32"/>
          <w:szCs w:val="32"/>
        </w:rPr>
        <w:t>相关部门各司其职、密切协作，围绕</w:t>
      </w:r>
      <w:r>
        <w:rPr>
          <w:rFonts w:ascii="仿宋_GB2312" w:eastAsia="仿宋_GB2312" w:hAnsiTheme="minorEastAsia"/>
          <w:sz w:val="32"/>
          <w:szCs w:val="32"/>
        </w:rPr>
        <w:t>试点任务</w:t>
      </w:r>
      <w:r>
        <w:rPr>
          <w:rFonts w:hint="eastAsia" w:ascii="仿宋_GB2312" w:eastAsia="仿宋_GB2312" w:hAnsiTheme="minorEastAsia"/>
          <w:sz w:val="32"/>
          <w:szCs w:val="32"/>
        </w:rPr>
        <w:t>，合力推进重点工作，以打破制度性约束为主，通过简政放权、减税降费，改善物流企业的发展环境，降低物流企业不合理税费，为物流企业发展增添动力。</w:t>
      </w:r>
    </w:p>
    <w:p>
      <w:pPr>
        <w:pStyle w:val="6"/>
        <w:adjustRightInd w:val="0"/>
        <w:snapToGrid w:val="0"/>
        <w:spacing w:line="360" w:lineRule="auto"/>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第三步</w:t>
      </w:r>
      <w:r>
        <w:rPr>
          <w:rFonts w:ascii="仿宋_GB2312" w:eastAsia="仿宋_GB2312" w:hAnsiTheme="minorEastAsia"/>
          <w:b/>
          <w:sz w:val="32"/>
          <w:szCs w:val="32"/>
        </w:rPr>
        <w:t>：</w:t>
      </w:r>
      <w:r>
        <w:rPr>
          <w:rFonts w:hint="eastAsia" w:ascii="仿宋_GB2312" w:eastAsia="仿宋_GB2312" w:hAnsiTheme="minorEastAsia"/>
          <w:b/>
          <w:sz w:val="32"/>
          <w:szCs w:val="32"/>
        </w:rPr>
        <w:t>鼓励</w:t>
      </w:r>
      <w:r>
        <w:rPr>
          <w:rFonts w:ascii="仿宋_GB2312" w:eastAsia="仿宋_GB2312" w:hAnsiTheme="minorEastAsia"/>
          <w:b/>
          <w:sz w:val="32"/>
          <w:szCs w:val="32"/>
        </w:rPr>
        <w:t>企业创新</w:t>
      </w:r>
      <w:r>
        <w:rPr>
          <w:rFonts w:hint="eastAsia" w:ascii="仿宋_GB2312" w:eastAsia="仿宋_GB2312" w:hAnsiTheme="minorEastAsia"/>
          <w:b/>
          <w:sz w:val="32"/>
          <w:szCs w:val="32"/>
        </w:rPr>
        <w:t>发展</w:t>
      </w:r>
      <w:r>
        <w:rPr>
          <w:rFonts w:ascii="仿宋_GB2312" w:eastAsia="仿宋_GB2312" w:hAnsiTheme="minorEastAsia"/>
          <w:b/>
          <w:sz w:val="32"/>
          <w:szCs w:val="32"/>
        </w:rPr>
        <w:t>，提</w:t>
      </w:r>
      <w:r>
        <w:rPr>
          <w:rFonts w:hint="eastAsia" w:ascii="仿宋_GB2312" w:eastAsia="仿宋_GB2312" w:hAnsiTheme="minorEastAsia"/>
          <w:b/>
          <w:sz w:val="32"/>
          <w:szCs w:val="32"/>
        </w:rPr>
        <w:t>升</w:t>
      </w:r>
      <w:r>
        <w:rPr>
          <w:rFonts w:ascii="仿宋_GB2312" w:eastAsia="仿宋_GB2312" w:hAnsiTheme="minorEastAsia"/>
          <w:b/>
          <w:sz w:val="32"/>
          <w:szCs w:val="32"/>
        </w:rPr>
        <w:t>企业</w:t>
      </w:r>
      <w:r>
        <w:rPr>
          <w:rFonts w:hint="eastAsia" w:ascii="仿宋_GB2312" w:eastAsia="仿宋_GB2312" w:hAnsiTheme="minorEastAsia"/>
          <w:b/>
          <w:sz w:val="32"/>
          <w:szCs w:val="32"/>
        </w:rPr>
        <w:t>综合实力，实现增效益</w:t>
      </w:r>
    </w:p>
    <w:p>
      <w:pPr>
        <w:pStyle w:val="6"/>
        <w:adjustRightInd w:val="0"/>
        <w:snapToGrid w:val="0"/>
        <w:spacing w:line="360" w:lineRule="auto"/>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以政府部门引导鼓励、物流企业转型</w:t>
      </w:r>
      <w:r>
        <w:rPr>
          <w:rFonts w:ascii="仿宋_GB2312" w:eastAsia="仿宋_GB2312" w:hAnsiTheme="minorEastAsia"/>
          <w:sz w:val="32"/>
          <w:szCs w:val="32"/>
        </w:rPr>
        <w:t>升级为主，</w:t>
      </w:r>
      <w:r>
        <w:rPr>
          <w:rFonts w:hint="eastAsia" w:ascii="仿宋_GB2312" w:eastAsia="仿宋_GB2312" w:hAnsiTheme="minorEastAsia"/>
          <w:sz w:val="32"/>
          <w:szCs w:val="32"/>
        </w:rPr>
        <w:t>通过集约优化</w:t>
      </w:r>
      <w:r>
        <w:rPr>
          <w:rFonts w:ascii="仿宋_GB2312" w:eastAsia="仿宋_GB2312" w:hAnsiTheme="minorEastAsia"/>
          <w:sz w:val="32"/>
          <w:szCs w:val="32"/>
        </w:rPr>
        <w:t>、</w:t>
      </w:r>
      <w:r>
        <w:rPr>
          <w:rFonts w:hint="eastAsia" w:ascii="仿宋_GB2312" w:eastAsia="仿宋_GB2312" w:hAnsiTheme="minorEastAsia"/>
          <w:sz w:val="32"/>
          <w:szCs w:val="32"/>
        </w:rPr>
        <w:t>整合提效，改善物流</w:t>
      </w:r>
      <w:r>
        <w:rPr>
          <w:rFonts w:ascii="仿宋_GB2312" w:eastAsia="仿宋_GB2312" w:hAnsiTheme="minorEastAsia"/>
          <w:sz w:val="32"/>
          <w:szCs w:val="32"/>
        </w:rPr>
        <w:t>企业</w:t>
      </w:r>
      <w:r>
        <w:rPr>
          <w:rFonts w:hint="eastAsia" w:ascii="仿宋_GB2312" w:eastAsia="仿宋_GB2312" w:hAnsiTheme="minorEastAsia"/>
          <w:sz w:val="32"/>
          <w:szCs w:val="32"/>
        </w:rPr>
        <w:t>过小、过散、过弱的</w:t>
      </w:r>
      <w:r>
        <w:rPr>
          <w:rFonts w:ascii="仿宋_GB2312" w:eastAsia="仿宋_GB2312" w:hAnsiTheme="minorEastAsia"/>
          <w:sz w:val="32"/>
          <w:szCs w:val="32"/>
        </w:rPr>
        <w:t>局面，</w:t>
      </w:r>
      <w:r>
        <w:rPr>
          <w:rFonts w:hint="eastAsia" w:ascii="仿宋_GB2312" w:eastAsia="仿宋_GB2312" w:hAnsiTheme="minorEastAsia"/>
          <w:sz w:val="32"/>
          <w:szCs w:val="32"/>
        </w:rPr>
        <w:t>提高</w:t>
      </w:r>
      <w:r>
        <w:rPr>
          <w:rFonts w:ascii="仿宋_GB2312" w:eastAsia="仿宋_GB2312" w:hAnsiTheme="minorEastAsia"/>
          <w:sz w:val="32"/>
          <w:szCs w:val="32"/>
        </w:rPr>
        <w:t>组织效率，延伸服务链条</w:t>
      </w:r>
      <w:r>
        <w:rPr>
          <w:rFonts w:hint="eastAsia" w:ascii="仿宋_GB2312" w:eastAsia="仿宋_GB2312" w:hAnsiTheme="minorEastAsia"/>
          <w:sz w:val="32"/>
          <w:szCs w:val="32"/>
        </w:rPr>
        <w:t>，优化</w:t>
      </w:r>
      <w:r>
        <w:rPr>
          <w:rFonts w:ascii="仿宋_GB2312" w:eastAsia="仿宋_GB2312" w:hAnsiTheme="minorEastAsia"/>
          <w:sz w:val="32"/>
          <w:szCs w:val="32"/>
        </w:rPr>
        <w:t>运输结构，</w:t>
      </w:r>
      <w:r>
        <w:rPr>
          <w:rFonts w:hint="eastAsia" w:ascii="仿宋_GB2312" w:eastAsia="仿宋_GB2312" w:hAnsiTheme="minorEastAsia"/>
          <w:sz w:val="32"/>
          <w:szCs w:val="32"/>
        </w:rPr>
        <w:t>推动物流企业创新发展。</w:t>
      </w:r>
    </w:p>
    <w:p>
      <w:pPr>
        <w:pStyle w:val="3"/>
        <w:rPr>
          <w:rFonts w:ascii="楷体" w:hAnsi="楷体" w:eastAsia="楷体"/>
        </w:rPr>
      </w:pPr>
      <w:bookmarkStart w:id="82" w:name="_Toc7300072"/>
      <w:bookmarkStart w:id="83" w:name="_Toc7300030"/>
      <w:r>
        <w:rPr>
          <w:rFonts w:hint="eastAsia" w:ascii="楷体" w:hAnsi="楷体" w:eastAsia="楷体"/>
        </w:rPr>
        <w:t>3.</w:t>
      </w:r>
      <w:r>
        <w:rPr>
          <w:rFonts w:ascii="楷体" w:hAnsi="楷体" w:eastAsia="楷体"/>
        </w:rPr>
        <w:t>5</w:t>
      </w:r>
      <w:r>
        <w:rPr>
          <w:rFonts w:hint="eastAsia" w:ascii="楷体" w:hAnsi="楷体" w:eastAsia="楷体"/>
        </w:rPr>
        <w:t>拟</w:t>
      </w:r>
      <w:r>
        <w:rPr>
          <w:rFonts w:ascii="楷体" w:hAnsi="楷体" w:eastAsia="楷体"/>
        </w:rPr>
        <w:t>开展的</w:t>
      </w:r>
      <w:r>
        <w:rPr>
          <w:rFonts w:hint="eastAsia" w:ascii="楷体" w:hAnsi="楷体" w:eastAsia="楷体"/>
        </w:rPr>
        <w:t>体制机制改革</w:t>
      </w:r>
      <w:r>
        <w:rPr>
          <w:rFonts w:ascii="楷体" w:hAnsi="楷体" w:eastAsia="楷体"/>
        </w:rPr>
        <w:t>和政策创新</w:t>
      </w:r>
      <w:bookmarkEnd w:id="82"/>
      <w:bookmarkEnd w:id="83"/>
    </w:p>
    <w:p>
      <w:pPr>
        <w:pStyle w:val="6"/>
        <w:adjustRightInd w:val="0"/>
        <w:snapToGrid w:val="0"/>
        <w:spacing w:line="360" w:lineRule="auto"/>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结合</w:t>
      </w:r>
      <w:r>
        <w:rPr>
          <w:rFonts w:ascii="仿宋_GB2312" w:eastAsia="仿宋_GB2312" w:hAnsiTheme="minorEastAsia"/>
          <w:sz w:val="32"/>
          <w:szCs w:val="32"/>
        </w:rPr>
        <w:t>湖南省物流业</w:t>
      </w:r>
      <w:r>
        <w:rPr>
          <w:rFonts w:hint="eastAsia" w:ascii="仿宋_GB2312" w:eastAsia="仿宋_GB2312" w:hAnsiTheme="minorEastAsia"/>
          <w:sz w:val="32"/>
          <w:szCs w:val="32"/>
        </w:rPr>
        <w:t>发展</w:t>
      </w:r>
      <w:r>
        <w:rPr>
          <w:rFonts w:ascii="仿宋_GB2312" w:eastAsia="仿宋_GB2312" w:hAnsiTheme="minorEastAsia"/>
          <w:sz w:val="32"/>
          <w:szCs w:val="32"/>
        </w:rPr>
        <w:t>实际，聚焦制约物流业</w:t>
      </w:r>
      <w:r>
        <w:rPr>
          <w:rFonts w:hint="eastAsia" w:ascii="仿宋_GB2312" w:eastAsia="仿宋_GB2312" w:hAnsiTheme="minorEastAsia"/>
          <w:sz w:val="32"/>
          <w:szCs w:val="32"/>
        </w:rPr>
        <w:t>发展的</w:t>
      </w:r>
      <w:r>
        <w:rPr>
          <w:rFonts w:ascii="仿宋_GB2312" w:eastAsia="仿宋_GB2312" w:hAnsiTheme="minorEastAsia"/>
          <w:sz w:val="32"/>
          <w:szCs w:val="32"/>
        </w:rPr>
        <w:t>瓶颈，本次试点工作拟开展的改革和政策创新主要包括：</w:t>
      </w:r>
      <w:r>
        <w:rPr>
          <w:rFonts w:hint="eastAsia" w:ascii="仿宋_GB2312" w:eastAsia="仿宋_GB2312" w:hAnsiTheme="minorEastAsia"/>
          <w:sz w:val="32"/>
          <w:szCs w:val="32"/>
        </w:rPr>
        <w:t>优化物流行政审批流程，提高</w:t>
      </w:r>
      <w:r>
        <w:rPr>
          <w:rFonts w:ascii="仿宋_GB2312" w:eastAsia="仿宋_GB2312" w:hAnsiTheme="minorEastAsia"/>
          <w:sz w:val="32"/>
          <w:szCs w:val="32"/>
        </w:rPr>
        <w:t>行政服务水平；</w:t>
      </w:r>
      <w:r>
        <w:rPr>
          <w:rFonts w:hint="eastAsia" w:ascii="仿宋_GB2312" w:eastAsia="仿宋_GB2312" w:hAnsiTheme="minorEastAsia"/>
          <w:sz w:val="32"/>
          <w:szCs w:val="32"/>
        </w:rPr>
        <w:t>加快</w:t>
      </w:r>
      <w:r>
        <w:rPr>
          <w:rFonts w:ascii="仿宋_GB2312" w:eastAsia="仿宋_GB2312" w:hAnsiTheme="minorEastAsia"/>
          <w:sz w:val="32"/>
          <w:szCs w:val="32"/>
        </w:rPr>
        <w:t>推进省级试点示范</w:t>
      </w:r>
      <w:r>
        <w:rPr>
          <w:rFonts w:hint="eastAsia" w:ascii="仿宋_GB2312" w:eastAsia="仿宋_GB2312" w:hAnsiTheme="minorEastAsia"/>
          <w:sz w:val="32"/>
          <w:szCs w:val="32"/>
        </w:rPr>
        <w:t>，完善绿色货运</w:t>
      </w:r>
      <w:r>
        <w:rPr>
          <w:rFonts w:ascii="仿宋_GB2312" w:eastAsia="仿宋_GB2312" w:hAnsiTheme="minorEastAsia"/>
          <w:sz w:val="32"/>
          <w:szCs w:val="32"/>
        </w:rPr>
        <w:t>配送政策</w:t>
      </w:r>
      <w:r>
        <w:rPr>
          <w:rFonts w:hint="eastAsia" w:ascii="仿宋_GB2312" w:eastAsia="仿宋_GB2312" w:hAnsiTheme="minorEastAsia"/>
          <w:sz w:val="32"/>
          <w:szCs w:val="32"/>
        </w:rPr>
        <w:t>；创新</w:t>
      </w:r>
      <w:r>
        <w:rPr>
          <w:rFonts w:ascii="仿宋_GB2312" w:eastAsia="仿宋_GB2312" w:hAnsiTheme="minorEastAsia"/>
          <w:sz w:val="32"/>
          <w:szCs w:val="32"/>
        </w:rPr>
        <w:t>物流用地政策，拓宽企业融资渠道。</w:t>
      </w:r>
    </w:p>
    <w:p>
      <w:pPr>
        <w:pStyle w:val="6"/>
        <w:adjustRightInd w:val="0"/>
        <w:snapToGrid w:val="0"/>
        <w:spacing w:line="360" w:lineRule="auto"/>
        <w:ind w:firstLine="640" w:firstLineChars="200"/>
        <w:rPr>
          <w:rFonts w:ascii="仿宋_GB2312" w:eastAsia="仿宋_GB2312" w:hAnsiTheme="minorEastAsia"/>
          <w:sz w:val="32"/>
          <w:szCs w:val="32"/>
        </w:rPr>
        <w:sectPr>
          <w:pgSz w:w="11906" w:h="16838"/>
          <w:pgMar w:top="1440" w:right="1800" w:bottom="1440" w:left="1800" w:header="851" w:footer="992" w:gutter="0"/>
          <w:cols w:space="425" w:num="1"/>
          <w:docGrid w:type="lines" w:linePitch="312" w:charSpace="0"/>
        </w:sectPr>
      </w:pPr>
    </w:p>
    <w:p>
      <w:pPr>
        <w:pStyle w:val="2"/>
        <w:spacing w:line="600" w:lineRule="exact"/>
        <w:rPr>
          <w:rFonts w:ascii="黑体" w:hAnsi="黑体" w:eastAsia="黑体"/>
          <w:sz w:val="32"/>
        </w:rPr>
      </w:pPr>
      <w:bookmarkStart w:id="84" w:name="_Toc6551642"/>
      <w:bookmarkStart w:id="85" w:name="_Toc4600198"/>
      <w:bookmarkStart w:id="86" w:name="_Toc7300073"/>
      <w:bookmarkStart w:id="87" w:name="_Toc7300031"/>
      <w:r>
        <w:rPr>
          <w:rFonts w:hint="eastAsia" w:ascii="黑体" w:hAnsi="黑体" w:eastAsia="黑体"/>
          <w:sz w:val="32"/>
        </w:rPr>
        <w:t>4.试点主要任务</w:t>
      </w:r>
      <w:bookmarkEnd w:id="84"/>
      <w:bookmarkEnd w:id="85"/>
      <w:bookmarkEnd w:id="86"/>
      <w:bookmarkEnd w:id="87"/>
    </w:p>
    <w:p>
      <w:pPr>
        <w:pStyle w:val="3"/>
        <w:rPr>
          <w:rFonts w:ascii="楷体" w:hAnsi="楷体" w:eastAsia="楷体"/>
        </w:rPr>
      </w:pPr>
      <w:bookmarkStart w:id="88" w:name="_Toc6551643"/>
      <w:bookmarkStart w:id="89" w:name="_Toc7300074"/>
      <w:bookmarkStart w:id="90" w:name="_Toc7300032"/>
      <w:r>
        <w:rPr>
          <w:rFonts w:hint="eastAsia" w:ascii="楷体" w:hAnsi="楷体" w:eastAsia="楷体"/>
        </w:rPr>
        <w:t>4.1</w:t>
      </w:r>
      <w:bookmarkEnd w:id="88"/>
      <w:r>
        <w:rPr>
          <w:rFonts w:hint="eastAsia" w:ascii="楷体" w:hAnsi="楷体" w:eastAsia="楷体"/>
        </w:rPr>
        <w:t>优化物流营商环境</w:t>
      </w:r>
      <w:bookmarkEnd w:id="89"/>
      <w:bookmarkEnd w:id="90"/>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1</w:t>
      </w:r>
      <w:r>
        <w:rPr>
          <w:rFonts w:hint="eastAsia" w:ascii="仿宋_GB2312" w:eastAsia="仿宋_GB2312" w:hAnsiTheme="minorEastAsia"/>
          <w:b/>
          <w:sz w:val="32"/>
          <w:szCs w:val="32"/>
        </w:rPr>
        <w:t>）优化物流行政</w:t>
      </w:r>
      <w:r>
        <w:rPr>
          <w:rFonts w:ascii="仿宋_GB2312" w:eastAsia="仿宋_GB2312" w:hAnsiTheme="minorEastAsia"/>
          <w:b/>
          <w:sz w:val="32"/>
          <w:szCs w:val="32"/>
        </w:rPr>
        <w:t>审批流程。</w:t>
      </w:r>
      <w:r>
        <w:rPr>
          <w:rFonts w:hint="eastAsia" w:ascii="仿宋_GB2312" w:eastAsia="仿宋_GB2312" w:hAnsiTheme="minorEastAsia"/>
          <w:sz w:val="32"/>
          <w:szCs w:val="32"/>
        </w:rPr>
        <w:t>依托“一件事一次办”改革，清理物流行业行政许可审批事项，进一步优化物流领域行政审批办理流程，推广实施行政许可事项申请、受理、办结、送达"一站式"服务，实行“单一窗口”办理，实现审批时限大幅压减。对不涉及危险品货物运输的货物运输经营许可类和货物运输道路运输证年审、注销、变更等其他行政权力的审批事项，实行“最多跑一次”、一次办好。进一步放宽物流企业住所和经营场所登记条件</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2</w:t>
      </w:r>
      <w:r>
        <w:rPr>
          <w:rFonts w:hint="eastAsia" w:ascii="仿宋_GB2312" w:eastAsia="仿宋_GB2312" w:hAnsiTheme="minorEastAsia"/>
          <w:b/>
          <w:sz w:val="32"/>
          <w:szCs w:val="32"/>
        </w:rPr>
        <w:t>）优化</w:t>
      </w:r>
      <w:r>
        <w:rPr>
          <w:rFonts w:ascii="仿宋_GB2312" w:eastAsia="仿宋_GB2312" w:hAnsiTheme="minorEastAsia"/>
          <w:b/>
          <w:sz w:val="32"/>
          <w:szCs w:val="32"/>
        </w:rPr>
        <w:t>邮政快递审批流程</w:t>
      </w:r>
      <w:r>
        <w:rPr>
          <w:rFonts w:hint="eastAsia" w:ascii="仿宋_GB2312" w:eastAsia="仿宋_GB2312" w:hAnsiTheme="minorEastAsia"/>
          <w:b/>
          <w:sz w:val="32"/>
          <w:szCs w:val="32"/>
        </w:rPr>
        <w:t>。</w:t>
      </w:r>
      <w:r>
        <w:rPr>
          <w:rFonts w:hint="eastAsia" w:ascii="仿宋_GB2312" w:eastAsia="仿宋_GB2312" w:hAnsiTheme="minorEastAsia"/>
          <w:sz w:val="32"/>
          <w:szCs w:val="32"/>
        </w:rPr>
        <w:t>优化流程减环节，精简材料证明，推进快递许可事项全程网上办理，实现“一次都不跑”，办理时间将缩短至10个工作日内。全面实行审批 AB 角制、预警提醒制，杜绝“离岗压件、办结逾时”现象。进一步完善快递末端网点备案管理，将办理时限进一步压缩至3日内。精简快递企业分支机构、末端网点备案手续，推进快递领域工商登记“一照多址”改革，提升物流企业开办便利度。</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）进一步提高口岸现场作业时效。</w:t>
      </w:r>
      <w:r>
        <w:rPr>
          <w:rFonts w:hint="eastAsia" w:ascii="仿宋_GB2312" w:eastAsia="仿宋_GB2312" w:hAnsiTheme="minorEastAsia"/>
          <w:sz w:val="32"/>
          <w:szCs w:val="32"/>
        </w:rPr>
        <w:t>督促口岸经营服务企业制定并公示场内转运、吊箱移位、掏箱等操作时限标准。协调落实“提前申报”“先验放后检测”等提效举措，增强企业获得感。进一步健全常态化通报制度。研究建立口岸整体通关时效第三方评估机制，适时向社会公布评估结果。</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4</w:t>
      </w:r>
      <w:r>
        <w:rPr>
          <w:rFonts w:hint="eastAsia" w:ascii="仿宋_GB2312" w:eastAsia="仿宋_GB2312" w:hAnsiTheme="minorEastAsia"/>
          <w:b/>
          <w:sz w:val="32"/>
          <w:szCs w:val="32"/>
        </w:rPr>
        <w:t>）深化国际贸易“单一窗口”建设。</w:t>
      </w:r>
      <w:r>
        <w:rPr>
          <w:rFonts w:hint="eastAsia" w:ascii="仿宋_GB2312" w:eastAsia="仿宋_GB2312" w:hAnsiTheme="minorEastAsia"/>
          <w:sz w:val="32"/>
          <w:szCs w:val="32"/>
        </w:rPr>
        <w:t>加强商务</w:t>
      </w:r>
      <w:r>
        <w:rPr>
          <w:rFonts w:ascii="仿宋_GB2312" w:eastAsia="仿宋_GB2312" w:hAnsiTheme="minorEastAsia"/>
          <w:sz w:val="32"/>
          <w:szCs w:val="32"/>
        </w:rPr>
        <w:t>部门</w:t>
      </w:r>
      <w:r>
        <w:rPr>
          <w:rFonts w:hint="eastAsia" w:ascii="仿宋_GB2312" w:eastAsia="仿宋_GB2312" w:hAnsiTheme="minorEastAsia"/>
          <w:sz w:val="32"/>
          <w:szCs w:val="32"/>
        </w:rPr>
        <w:t>与银行、保险、民航、铁路、港口等系统对接，推动实现运输工具联合登临检查和搭靠许可，向进出口企业、口岸作业场站推送查验通知。</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5</w:t>
      </w:r>
      <w:r>
        <w:rPr>
          <w:rFonts w:hint="eastAsia" w:ascii="仿宋_GB2312" w:eastAsia="仿宋_GB2312" w:hAnsiTheme="minorEastAsia"/>
          <w:b/>
          <w:sz w:val="32"/>
          <w:szCs w:val="32"/>
        </w:rPr>
        <w:t>）进一步</w:t>
      </w:r>
      <w:r>
        <w:rPr>
          <w:rFonts w:ascii="仿宋_GB2312" w:eastAsia="仿宋_GB2312" w:hAnsiTheme="minorEastAsia"/>
          <w:b/>
          <w:sz w:val="32"/>
          <w:szCs w:val="32"/>
        </w:rPr>
        <w:t>压缩海关通关</w:t>
      </w:r>
      <w:r>
        <w:rPr>
          <w:rFonts w:hint="eastAsia" w:ascii="仿宋_GB2312" w:eastAsia="仿宋_GB2312" w:hAnsiTheme="minorEastAsia"/>
          <w:b/>
          <w:sz w:val="32"/>
          <w:szCs w:val="32"/>
        </w:rPr>
        <w:t>时间。</w:t>
      </w:r>
      <w:r>
        <w:rPr>
          <w:rFonts w:hint="eastAsia" w:ascii="仿宋_GB2312" w:eastAsia="仿宋_GB2312" w:hAnsiTheme="minorEastAsia"/>
          <w:sz w:val="32"/>
          <w:szCs w:val="32"/>
        </w:rPr>
        <w:t>落实长沙海关压缩整体通关时间10项举措，持续推进巩固压缩整体通关时间成效有关工作。深化关检业务融合，按照海关总署统一部署，推进新一代信息系统在关区的应用实施。推行进口货物提前申报等举措，加快推动各项通关改革措施落地生效。</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6</w:t>
      </w:r>
      <w:r>
        <w:rPr>
          <w:rFonts w:hint="eastAsia" w:ascii="仿宋_GB2312" w:eastAsia="仿宋_GB2312" w:hAnsiTheme="minorEastAsia"/>
          <w:b/>
          <w:sz w:val="32"/>
          <w:szCs w:val="32"/>
        </w:rPr>
        <w:t>）提升</w:t>
      </w:r>
      <w:r>
        <w:rPr>
          <w:rFonts w:ascii="仿宋_GB2312" w:eastAsia="仿宋_GB2312" w:hAnsiTheme="minorEastAsia"/>
          <w:b/>
          <w:sz w:val="32"/>
          <w:szCs w:val="32"/>
        </w:rPr>
        <w:t>交通运输</w:t>
      </w:r>
      <w:r>
        <w:rPr>
          <w:rFonts w:hint="eastAsia" w:ascii="仿宋_GB2312" w:eastAsia="仿宋_GB2312" w:hAnsiTheme="minorEastAsia"/>
          <w:b/>
          <w:sz w:val="32"/>
          <w:szCs w:val="32"/>
        </w:rPr>
        <w:t>行政</w:t>
      </w:r>
      <w:r>
        <w:rPr>
          <w:rFonts w:ascii="仿宋_GB2312" w:eastAsia="仿宋_GB2312" w:hAnsiTheme="minorEastAsia"/>
          <w:b/>
          <w:sz w:val="32"/>
          <w:szCs w:val="32"/>
        </w:rPr>
        <w:t>服务</w:t>
      </w:r>
      <w:r>
        <w:rPr>
          <w:rFonts w:hint="eastAsia" w:ascii="仿宋_GB2312" w:eastAsia="仿宋_GB2312" w:hAnsiTheme="minorEastAsia"/>
          <w:b/>
          <w:sz w:val="32"/>
          <w:szCs w:val="32"/>
        </w:rPr>
        <w:t>水平。</w:t>
      </w:r>
      <w:r>
        <w:rPr>
          <w:rFonts w:hint="eastAsia" w:ascii="仿宋_GB2312" w:eastAsia="仿宋_GB2312" w:hAnsiTheme="minorEastAsia"/>
          <w:sz w:val="32"/>
          <w:szCs w:val="32"/>
        </w:rPr>
        <w:t>一是根据《超限运输车辆行驶公路管理规定》将大件运输许可中的验算费、检测费，纳入财政预算管理，为大件运输物流企业减负，企业不再负担该项费用。二是制定出台《湖南省公路路政许可暂行规定》、高速公路路政许可目录清单及标准化实施清单，进一步规范审批流程，开发完善大件运输网上审批系统，让物流企业少跑腿，为企业节约时间成本。三是对经批准的大件运输车辆途经湖南省实行计重收费的收费公路时，按照车辆通行费基本费率标准收取车辆通行费，降低合法运输的物流成本。四是优化水路运输业务等省本级和转报类行政许可事项审核审批效率，及时解决水路运输企业反映的水路运输经营资质、新增运力等困难和问题，帮助企业经营发展。五是督促港口经营企业提高服务效率，配合相关部门清理规范口岸进出口环节收费，降低企业经营成本。</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（7）推动</w:t>
      </w:r>
      <w:r>
        <w:rPr>
          <w:rFonts w:ascii="仿宋_GB2312" w:eastAsia="仿宋_GB2312" w:hAnsiTheme="minorEastAsia"/>
          <w:b/>
          <w:sz w:val="32"/>
          <w:szCs w:val="32"/>
        </w:rPr>
        <w:t>道路</w:t>
      </w:r>
      <w:r>
        <w:rPr>
          <w:rFonts w:hint="eastAsia" w:ascii="仿宋_GB2312" w:eastAsia="仿宋_GB2312" w:hAnsiTheme="minorEastAsia"/>
          <w:b/>
          <w:sz w:val="32"/>
          <w:szCs w:val="32"/>
        </w:rPr>
        <w:t>货运</w:t>
      </w:r>
      <w:r>
        <w:rPr>
          <w:rFonts w:ascii="仿宋_GB2312" w:eastAsia="仿宋_GB2312" w:hAnsiTheme="minorEastAsia"/>
          <w:b/>
          <w:sz w:val="32"/>
          <w:szCs w:val="32"/>
        </w:rPr>
        <w:t>审批改革。</w:t>
      </w:r>
      <w:r>
        <w:rPr>
          <w:rFonts w:hint="eastAsia" w:ascii="仿宋_GB2312" w:eastAsia="仿宋_GB2312" w:hAnsiTheme="minorEastAsia"/>
          <w:sz w:val="32"/>
          <w:szCs w:val="32"/>
        </w:rPr>
        <w:t>推动道路货运车辆异地检测、三检合并等工作落地，实现普货车辆年审网上办理。精简车辆准入审批。快递业务经营许可审批时限压缩一半，实施快递末端网点备案管理。针对航空快件、冷链货物、鲜活水产品等运输特点，建设常态化、规范化的绿色通道机制。</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（8）规范道路</w:t>
      </w:r>
      <w:r>
        <w:rPr>
          <w:rFonts w:ascii="仿宋_GB2312" w:eastAsia="仿宋_GB2312" w:hAnsiTheme="minorEastAsia"/>
          <w:b/>
          <w:sz w:val="32"/>
          <w:szCs w:val="32"/>
        </w:rPr>
        <w:t>货运执法行为。</w:t>
      </w:r>
      <w:r>
        <w:rPr>
          <w:rFonts w:hint="eastAsia" w:ascii="仿宋_GB2312" w:eastAsia="仿宋_GB2312" w:hAnsiTheme="minorEastAsia"/>
          <w:sz w:val="32"/>
          <w:szCs w:val="32"/>
        </w:rPr>
        <w:t>着力治理道路</w:t>
      </w:r>
      <w:r>
        <w:rPr>
          <w:rFonts w:ascii="仿宋_GB2312" w:eastAsia="仿宋_GB2312" w:hAnsiTheme="minorEastAsia"/>
          <w:sz w:val="32"/>
          <w:szCs w:val="32"/>
        </w:rPr>
        <w:t>货运</w:t>
      </w:r>
      <w:r>
        <w:rPr>
          <w:rFonts w:hint="eastAsia" w:ascii="仿宋_GB2312" w:eastAsia="仿宋_GB2312" w:hAnsiTheme="minorEastAsia"/>
          <w:sz w:val="32"/>
          <w:szCs w:val="32"/>
        </w:rPr>
        <w:t>乱收费、乱罚款、乱审批。全面梳理、规范和精简执法事项，推进实施执法事项清单管理制度。全面推进“双随机一公开”监管，有序开展随机抽查工作，对违法违规企业依法实施行政处罚。督促港口、铁路、航空等企业执行明码标价制度，在各业务网点全面公开进出口环节收费目录清单并主动接受监督检查。制定联合治超实施方案,推动依托公路超限检测站,由交通运输执法机构负责监督消除违法行为、公安交管部门单独实施处罚记分的治超联合执法模式常态化、制度化,避免重复罚款。严格货运车辆执法程序,执法人员现场执法时须持合法证件和执法监督设备,公安交管部门要依据公路管理机构开具的称重和卸载单,依法进行处罚、记分后放行,严禁罚款不卸载。</w:t>
      </w:r>
    </w:p>
    <w:p>
      <w:pPr>
        <w:pStyle w:val="33"/>
        <w:overflowPunct w:val="0"/>
        <w:spacing w:line="720" w:lineRule="atLeast"/>
        <w:ind w:firstLine="672"/>
        <w:rPr>
          <w:rFonts w:ascii="仿宋_GB2312" w:eastAsia="仿宋_GB2312" w:hAnsiTheme="minorEastAsia"/>
          <w:sz w:val="32"/>
          <w:szCs w:val="32"/>
        </w:rPr>
      </w:pPr>
      <w:r>
        <w:rPr>
          <w:rFonts w:hint="eastAsia" w:eastAsia="仿宋_GB2312"/>
          <w:b/>
          <w:sz w:val="32"/>
          <w:szCs w:val="32"/>
        </w:rPr>
        <w:t>预期成效：</w:t>
      </w:r>
      <w:r>
        <w:rPr>
          <w:rFonts w:hint="eastAsia" w:eastAsia="仿宋_GB2312"/>
          <w:sz w:val="32"/>
          <w:szCs w:val="32"/>
        </w:rPr>
        <w:t>进一步收缩政府职能，减少政府对于企业经营的干预，提高口岸作业</w:t>
      </w:r>
      <w:r>
        <w:rPr>
          <w:rFonts w:eastAsia="仿宋_GB2312"/>
          <w:sz w:val="32"/>
          <w:szCs w:val="32"/>
        </w:rPr>
        <w:t>效率，压缩海关通关时间，</w:t>
      </w:r>
      <w:r>
        <w:rPr>
          <w:rFonts w:hint="eastAsia" w:eastAsia="仿宋_GB2312"/>
          <w:bCs/>
          <w:sz w:val="32"/>
          <w:szCs w:val="32"/>
        </w:rPr>
        <w:t>降低公路运输通行费用</w:t>
      </w:r>
      <w:r>
        <w:rPr>
          <w:rFonts w:hint="eastAsia" w:eastAsia="仿宋_GB2312"/>
          <w:sz w:val="32"/>
          <w:szCs w:val="32"/>
        </w:rPr>
        <w:t>，提高通行效率和运输安全</w:t>
      </w:r>
      <w:r>
        <w:rPr>
          <w:rFonts w:eastAsia="仿宋_GB2312"/>
          <w:sz w:val="32"/>
          <w:szCs w:val="32"/>
        </w:rPr>
        <w:t>，</w:t>
      </w:r>
      <w:r>
        <w:rPr>
          <w:rFonts w:hint="eastAsia" w:eastAsia="仿宋_GB2312"/>
          <w:sz w:val="32"/>
          <w:szCs w:val="32"/>
        </w:rPr>
        <w:t>营造</w:t>
      </w:r>
      <w:r>
        <w:rPr>
          <w:rFonts w:eastAsia="仿宋_GB2312"/>
          <w:sz w:val="32"/>
          <w:szCs w:val="32"/>
        </w:rPr>
        <w:t>良好的</w:t>
      </w:r>
      <w:r>
        <w:rPr>
          <w:rFonts w:hint="eastAsia" w:eastAsia="仿宋_GB2312"/>
          <w:sz w:val="32"/>
          <w:szCs w:val="32"/>
        </w:rPr>
        <w:t>物流</w:t>
      </w:r>
      <w:r>
        <w:rPr>
          <w:rFonts w:eastAsia="仿宋_GB2312"/>
          <w:sz w:val="32"/>
          <w:szCs w:val="32"/>
        </w:rPr>
        <w:t>市场环境</w:t>
      </w:r>
      <w:r>
        <w:rPr>
          <w:rFonts w:hint="eastAsia" w:eastAsia="仿宋_GB2312"/>
          <w:sz w:val="32"/>
          <w:szCs w:val="32"/>
        </w:rPr>
        <w:t>，有效降低企业制度性交易成本，激发企业活力，增强企业创新能力。</w:t>
      </w:r>
    </w:p>
    <w:p>
      <w:pPr>
        <w:pStyle w:val="3"/>
        <w:rPr>
          <w:rFonts w:ascii="楷体" w:hAnsi="楷体" w:eastAsia="楷体"/>
        </w:rPr>
      </w:pPr>
      <w:bookmarkStart w:id="91" w:name="_Toc7300075"/>
      <w:bookmarkStart w:id="92" w:name="_Toc7300033"/>
      <w:r>
        <w:rPr>
          <w:rFonts w:hint="eastAsia" w:ascii="楷体" w:hAnsi="楷体" w:eastAsia="楷体"/>
        </w:rPr>
        <w:t>4.</w:t>
      </w:r>
      <w:r>
        <w:rPr>
          <w:rFonts w:ascii="楷体" w:hAnsi="楷体" w:eastAsia="楷体"/>
        </w:rPr>
        <w:t>2</w:t>
      </w:r>
      <w:r>
        <w:rPr>
          <w:rFonts w:hint="eastAsia" w:ascii="楷体" w:hAnsi="楷体" w:eastAsia="楷体"/>
        </w:rPr>
        <w:t>鼓励物流技术创新</w:t>
      </w:r>
      <w:bookmarkEnd w:id="91"/>
      <w:bookmarkEnd w:id="92"/>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1</w:t>
      </w:r>
      <w:r>
        <w:rPr>
          <w:rFonts w:hint="eastAsia" w:ascii="仿宋_GB2312" w:eastAsia="仿宋_GB2312" w:hAnsiTheme="minorEastAsia"/>
          <w:b/>
          <w:sz w:val="32"/>
          <w:szCs w:val="32"/>
        </w:rPr>
        <w:t>）发展高效便捷物流新业态。</w:t>
      </w:r>
      <w:r>
        <w:rPr>
          <w:rFonts w:hint="eastAsia" w:ascii="仿宋_GB2312" w:eastAsia="仿宋_GB2312" w:hAnsiTheme="minorEastAsia"/>
          <w:sz w:val="32"/>
          <w:szCs w:val="32"/>
        </w:rPr>
        <w:t>发展“互联网+”高效物流，推进“互联网+”应用下的车货匹配、专线整合、园区链接、共同配送车辆租赁、大车队管理等，推动货运新旧业态加快融合发展，不断提高市场组织化程度。认真贯彻落实《湖南省大数据产业发展三年行动计划（2019-2021年）》、《湖南省人工智能产业发展三年行动计划（2019-2021年）》，《湖南省人民政府办公厅关于进一步鼓励移动互联网产业发展的若干意见》，推广窄带物联网（NB－IoT）、IPv6、5G等新型网络技术的应用，以企业为主体，以市场为导向，促进大数据、云计算、物联网、人工智能等新一代信息技术与物流行业应用的深度融合。开展大数据行业应用优秀案例征集活动，深化大数据在交通物流、地理信息等行业领域创新应用。</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1</w:t>
      </w:r>
      <w:r>
        <w:rPr>
          <w:rFonts w:hint="eastAsia" w:ascii="仿宋_GB2312" w:eastAsia="仿宋_GB2312" w:hAnsiTheme="minorEastAsia"/>
          <w:b/>
          <w:sz w:val="32"/>
          <w:szCs w:val="32"/>
        </w:rPr>
        <w:t>）推进道路</w:t>
      </w:r>
      <w:r>
        <w:rPr>
          <w:rFonts w:ascii="仿宋_GB2312" w:eastAsia="仿宋_GB2312" w:hAnsiTheme="minorEastAsia"/>
          <w:b/>
          <w:sz w:val="32"/>
          <w:szCs w:val="32"/>
        </w:rPr>
        <w:t>货运</w:t>
      </w:r>
      <w:r>
        <w:rPr>
          <w:rFonts w:hint="eastAsia" w:ascii="仿宋_GB2312" w:eastAsia="仿宋_GB2312" w:hAnsiTheme="minorEastAsia"/>
          <w:b/>
          <w:sz w:val="32"/>
          <w:szCs w:val="32"/>
        </w:rPr>
        <w:t>企业向现代</w:t>
      </w:r>
      <w:r>
        <w:rPr>
          <w:rFonts w:ascii="仿宋_GB2312" w:eastAsia="仿宋_GB2312" w:hAnsiTheme="minorEastAsia"/>
          <w:b/>
          <w:sz w:val="32"/>
          <w:szCs w:val="32"/>
        </w:rPr>
        <w:t>物流企业转型升级</w:t>
      </w:r>
      <w:r>
        <w:rPr>
          <w:rFonts w:hint="eastAsia" w:ascii="仿宋_GB2312" w:eastAsia="仿宋_GB2312" w:hAnsiTheme="minorEastAsia"/>
          <w:b/>
          <w:sz w:val="32"/>
          <w:szCs w:val="32"/>
        </w:rPr>
        <w:t>。</w:t>
      </w:r>
      <w:r>
        <w:rPr>
          <w:rFonts w:hint="eastAsia" w:ascii="仿宋_GB2312" w:eastAsia="仿宋_GB2312" w:hAnsiTheme="minorEastAsia"/>
          <w:sz w:val="32"/>
          <w:szCs w:val="32"/>
        </w:rPr>
        <w:t>加大政策支持力度，培育一批骨干龙头企业，重点培育创新能力强、运营管理规范、资源综合利用效率高的无车承运人品牌企业。通过搭建互联网平台，创新物流资源配置方式，扩大资源配置范围，实现货运供需信息实时共享和智能匹配。支持引导货运大车队、挂车共享租赁、甩挂运输、企业联盟、品牌连锁等集约高效的运输组织模式发展，发挥规模化、网络化运营优势，降低运输成本，有效整合分散经营的中小货运企业和个体运输业户。支持大型道路货运企业以资产为纽带，通过兼并、重组、收购、控股、加盟连锁等方式，拓展服务网络，延伸服务链条，实现资源高效配置，加快向现代物流企业转型升级。</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）推进邮政快递</w:t>
      </w:r>
      <w:r>
        <w:rPr>
          <w:rFonts w:ascii="仿宋_GB2312" w:eastAsia="仿宋_GB2312" w:hAnsiTheme="minorEastAsia"/>
          <w:b/>
          <w:sz w:val="32"/>
          <w:szCs w:val="32"/>
        </w:rPr>
        <w:t>物流绿色发展</w:t>
      </w:r>
      <w:r>
        <w:rPr>
          <w:rFonts w:hint="eastAsia" w:ascii="仿宋_GB2312" w:eastAsia="仿宋_GB2312" w:hAnsiTheme="minorEastAsia"/>
          <w:b/>
          <w:sz w:val="32"/>
          <w:szCs w:val="32"/>
        </w:rPr>
        <w:t>。</w:t>
      </w:r>
      <w:r>
        <w:rPr>
          <w:rFonts w:hint="eastAsia" w:ascii="仿宋_GB2312" w:eastAsia="仿宋_GB2312" w:hAnsiTheme="minorEastAsia"/>
          <w:sz w:val="32"/>
          <w:szCs w:val="32"/>
        </w:rPr>
        <w:t>印发《邮政快递行业生态环境保护工作实施方案》，明确2019年要实现全行业电子运单使用率95%、50%以上电商快件不再二次包装、循环中转袋使用率80%、1000个邮政快递网点设置包装废弃物回收装置和新增300台新能源车辆的目标。加强对快递企业新技术、新设施运用的指导，加大对于快递绿色发展宣传引导，倡导用户积极参与。</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（4）推广智能投递设施。</w:t>
      </w:r>
      <w:r>
        <w:rPr>
          <w:rFonts w:hint="eastAsia" w:ascii="仿宋_GB2312" w:eastAsia="仿宋_GB2312" w:hAnsiTheme="minorEastAsia"/>
          <w:sz w:val="32"/>
          <w:szCs w:val="32"/>
        </w:rPr>
        <w:t>大力推广应用智能快件（信包）箱，将其纳入便民服务、民生工程、为民办实事等项目，加快社区、高等院校、商务中心、地铁站周边等末端节点布局。支持传统信报箱智能化改造，推动邮政普遍服务与快递服务一体化、智能化。对新装智能快件（信包）箱或传统信报箱智能化改造项目，由各地给予一定新业态、新模式补助。</w:t>
      </w:r>
    </w:p>
    <w:p>
      <w:pPr>
        <w:pStyle w:val="33"/>
        <w:overflowPunct w:val="0"/>
        <w:spacing w:line="720" w:lineRule="atLeast"/>
        <w:ind w:firstLine="672"/>
        <w:rPr>
          <w:rFonts w:eastAsia="仿宋_GB2312"/>
          <w:b/>
          <w:sz w:val="32"/>
          <w:szCs w:val="32"/>
        </w:rPr>
      </w:pPr>
      <w:r>
        <w:rPr>
          <w:rFonts w:hint="eastAsia" w:eastAsia="仿宋_GB2312"/>
          <w:b/>
          <w:sz w:val="32"/>
          <w:szCs w:val="32"/>
        </w:rPr>
        <w:t>预期成效：</w:t>
      </w:r>
      <w:r>
        <w:rPr>
          <w:rFonts w:hint="eastAsia" w:eastAsia="仿宋_GB2312"/>
          <w:sz w:val="32"/>
          <w:szCs w:val="32"/>
        </w:rPr>
        <w:t>加快发展“互联网+”高效物流，促进</w:t>
      </w:r>
      <w:r>
        <w:rPr>
          <w:rFonts w:eastAsia="仿宋_GB2312"/>
          <w:sz w:val="32"/>
          <w:szCs w:val="32"/>
        </w:rPr>
        <w:t>道路运输</w:t>
      </w:r>
      <w:r>
        <w:rPr>
          <w:rFonts w:hint="eastAsia" w:eastAsia="仿宋_GB2312"/>
          <w:sz w:val="32"/>
          <w:szCs w:val="32"/>
        </w:rPr>
        <w:t>企业</w:t>
      </w:r>
      <w:r>
        <w:rPr>
          <w:rFonts w:eastAsia="仿宋_GB2312"/>
          <w:sz w:val="32"/>
          <w:szCs w:val="32"/>
        </w:rPr>
        <w:t>向现代物流企业的转型升级，</w:t>
      </w:r>
      <w:r>
        <w:rPr>
          <w:rFonts w:hint="eastAsia" w:eastAsia="仿宋_GB2312"/>
          <w:sz w:val="32"/>
          <w:szCs w:val="32"/>
        </w:rPr>
        <w:t>逐步</w:t>
      </w:r>
      <w:r>
        <w:rPr>
          <w:rFonts w:eastAsia="仿宋_GB2312"/>
          <w:sz w:val="32"/>
          <w:szCs w:val="32"/>
        </w:rPr>
        <w:t>推动物流行业技术创新</w:t>
      </w:r>
      <w:r>
        <w:rPr>
          <w:rFonts w:hint="eastAsia" w:eastAsia="仿宋_GB2312"/>
          <w:sz w:val="32"/>
          <w:szCs w:val="32"/>
        </w:rPr>
        <w:t>，加强新一代</w:t>
      </w:r>
      <w:r>
        <w:rPr>
          <w:rFonts w:eastAsia="仿宋_GB2312"/>
          <w:sz w:val="32"/>
          <w:szCs w:val="32"/>
        </w:rPr>
        <w:t>信息技术与物流业</w:t>
      </w:r>
      <w:r>
        <w:rPr>
          <w:rFonts w:hint="eastAsia" w:eastAsia="仿宋_GB2312"/>
          <w:sz w:val="32"/>
          <w:szCs w:val="32"/>
        </w:rPr>
        <w:t>的</w:t>
      </w:r>
      <w:r>
        <w:rPr>
          <w:rFonts w:eastAsia="仿宋_GB2312"/>
          <w:sz w:val="32"/>
          <w:szCs w:val="32"/>
        </w:rPr>
        <w:t>深度融合</w:t>
      </w:r>
      <w:r>
        <w:rPr>
          <w:rFonts w:hint="eastAsia" w:eastAsia="仿宋_GB2312"/>
          <w:sz w:val="32"/>
          <w:szCs w:val="32"/>
        </w:rPr>
        <w:t>，形成高效</w:t>
      </w:r>
      <w:r>
        <w:rPr>
          <w:rFonts w:eastAsia="仿宋_GB2312"/>
          <w:sz w:val="32"/>
          <w:szCs w:val="32"/>
        </w:rPr>
        <w:t>便捷物流业新模式、新业态</w:t>
      </w:r>
      <w:r>
        <w:rPr>
          <w:rFonts w:hint="eastAsia" w:eastAsia="仿宋_GB2312"/>
          <w:sz w:val="32"/>
          <w:szCs w:val="32"/>
        </w:rPr>
        <w:t>。</w:t>
      </w:r>
    </w:p>
    <w:p>
      <w:pPr>
        <w:pStyle w:val="3"/>
        <w:rPr>
          <w:rFonts w:ascii="楷体" w:hAnsi="楷体" w:eastAsia="楷体"/>
        </w:rPr>
      </w:pPr>
      <w:bookmarkStart w:id="93" w:name="_Toc7300076"/>
      <w:bookmarkStart w:id="94" w:name="_Toc7300034"/>
      <w:r>
        <w:rPr>
          <w:rFonts w:hint="eastAsia" w:ascii="楷体" w:hAnsi="楷体" w:eastAsia="楷体"/>
        </w:rPr>
        <w:t>4.</w:t>
      </w:r>
      <w:r>
        <w:rPr>
          <w:rFonts w:ascii="楷体" w:hAnsi="楷体" w:eastAsia="楷体"/>
        </w:rPr>
        <w:t>3</w:t>
      </w:r>
      <w:r>
        <w:rPr>
          <w:rFonts w:hint="eastAsia" w:ascii="楷体" w:hAnsi="楷体" w:eastAsia="楷体"/>
        </w:rPr>
        <w:t>培育物流网络</w:t>
      </w:r>
      <w:r>
        <w:rPr>
          <w:rFonts w:ascii="楷体" w:hAnsi="楷体" w:eastAsia="楷体"/>
        </w:rPr>
        <w:t>体系</w:t>
      </w:r>
      <w:bookmarkEnd w:id="93"/>
      <w:bookmarkEnd w:id="94"/>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（1）加快国家物流枢纽建设</w:t>
      </w:r>
      <w:r>
        <w:rPr>
          <w:rFonts w:hint="eastAsia" w:ascii="仿宋_GB2312" w:eastAsia="仿宋_GB2312" w:hAnsiTheme="minorEastAsia"/>
          <w:sz w:val="32"/>
          <w:szCs w:val="32"/>
        </w:rPr>
        <w:t>。落实国家出台的《国家物流枢纽布局和建设规划》总体部署，督促指导长沙、岳阳、衡阳、郴州、怀化等物流枢纽承载城市，编制或修订物流发展规划，制订枢纽建设实施方案，强化陆港型、空港型、港口型、生产服务型、商贸服务型等物流枢纽功能定位，整合优化物流资源，提高物流组织效率。加快构建枢纽网络体系，提升物流运行质量；推动枢纽全面创新，发展枢纽经济</w:t>
      </w:r>
      <w:r>
        <w:rPr>
          <w:rFonts w:ascii="仿宋_GB2312" w:eastAsia="仿宋_GB2312" w:hAnsiTheme="minorEastAsia"/>
          <w:sz w:val="32"/>
          <w:szCs w:val="32"/>
        </w:rPr>
        <w:t>，</w:t>
      </w:r>
      <w:r>
        <w:rPr>
          <w:rFonts w:hint="eastAsia" w:ascii="仿宋_GB2312" w:eastAsia="仿宋_GB2312" w:hAnsiTheme="minorEastAsia"/>
          <w:sz w:val="32"/>
          <w:szCs w:val="32"/>
        </w:rPr>
        <w:t>支撑</w:t>
      </w:r>
      <w:r>
        <w:rPr>
          <w:rFonts w:ascii="仿宋_GB2312" w:eastAsia="仿宋_GB2312" w:hAnsiTheme="minorEastAsia"/>
          <w:sz w:val="32"/>
          <w:szCs w:val="32"/>
        </w:rPr>
        <w:t>地方经济社会</w:t>
      </w:r>
      <w:r>
        <w:rPr>
          <w:rFonts w:hint="eastAsia" w:ascii="仿宋_GB2312" w:eastAsia="仿宋_GB2312" w:hAnsiTheme="minorEastAsia"/>
          <w:sz w:val="32"/>
          <w:szCs w:val="32"/>
        </w:rPr>
        <w:t>发展。</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2</w:t>
      </w:r>
      <w:r>
        <w:rPr>
          <w:rFonts w:hint="eastAsia" w:ascii="仿宋_GB2312" w:eastAsia="仿宋_GB2312" w:hAnsiTheme="minorEastAsia"/>
          <w:b/>
          <w:sz w:val="32"/>
          <w:szCs w:val="32"/>
        </w:rPr>
        <w:t>）加快省级</w:t>
      </w:r>
      <w:r>
        <w:rPr>
          <w:rFonts w:ascii="仿宋_GB2312" w:eastAsia="仿宋_GB2312" w:hAnsiTheme="minorEastAsia"/>
          <w:b/>
          <w:sz w:val="32"/>
          <w:szCs w:val="32"/>
        </w:rPr>
        <w:t>物流园区建设</w:t>
      </w:r>
      <w:r>
        <w:rPr>
          <w:rFonts w:hint="eastAsia" w:ascii="仿宋_GB2312" w:eastAsia="仿宋_GB2312" w:hAnsiTheme="minorEastAsia"/>
          <w:b/>
          <w:sz w:val="32"/>
          <w:szCs w:val="32"/>
        </w:rPr>
        <w:t>。</w:t>
      </w:r>
      <w:r>
        <w:rPr>
          <w:rFonts w:hint="eastAsia" w:ascii="仿宋_GB2312" w:eastAsia="仿宋_GB2312" w:hAnsiTheme="minorEastAsia"/>
          <w:sz w:val="32"/>
          <w:szCs w:val="32"/>
        </w:rPr>
        <w:t>依据《湖南省交通运输物流园区布局规划(2018-2035)，加快运输物流园区建设。制订出台《关于支持交通运输物流园区建设发展的意见》，进一步规范和引导货运物流站场项目建设发展。进一步强化物流园区基础设施网络建设，引导铁路进园区，大力发展多式联运，完善集疏运系统。加快园区物流信息化、标准化改造，推广平台整合、供应链融合等发展理念和模式创新，积极引导物流企业向园区集聚，加快产业联动融合，拓展物流增值服务。强化重点物流园区的引领示范作用，加快长沙金霞、郴州湘南两个国家示范物流园和6个省级示范物流园建设。加快推进纳入交通运输部规划的长沙传化公路港、望城铜官港区水运物流园、城陵矶新港港口物流园等货运枢纽(物流园区)建设，发挥重点项目示范引领作用。</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）加快发展城市绿色</w:t>
      </w:r>
      <w:r>
        <w:rPr>
          <w:rFonts w:ascii="仿宋_GB2312" w:eastAsia="仿宋_GB2312" w:hAnsiTheme="minorEastAsia"/>
          <w:b/>
          <w:sz w:val="32"/>
          <w:szCs w:val="32"/>
        </w:rPr>
        <w:t>货运配送</w:t>
      </w:r>
      <w:r>
        <w:rPr>
          <w:rFonts w:hint="eastAsia" w:ascii="仿宋_GB2312" w:eastAsia="仿宋_GB2312" w:hAnsiTheme="minorEastAsia"/>
          <w:b/>
          <w:sz w:val="32"/>
          <w:szCs w:val="32"/>
        </w:rPr>
        <w:t>。</w:t>
      </w:r>
      <w:r>
        <w:rPr>
          <w:rFonts w:hint="eastAsia" w:ascii="仿宋_GB2312" w:eastAsia="仿宋_GB2312" w:hAnsiTheme="minorEastAsia"/>
          <w:sz w:val="32"/>
          <w:szCs w:val="32"/>
        </w:rPr>
        <w:t>湖南省各地应科学合理规划货车通行区域，完善货车通行证制度，制定</w:t>
      </w:r>
      <w:r>
        <w:rPr>
          <w:rFonts w:ascii="仿宋_GB2312" w:eastAsia="仿宋_GB2312" w:hAnsiTheme="minorEastAsia"/>
          <w:sz w:val="32"/>
          <w:szCs w:val="32"/>
        </w:rPr>
        <w:t>货运配送便利通行政策</w:t>
      </w:r>
      <w:r>
        <w:rPr>
          <w:rFonts w:hint="eastAsia" w:ascii="仿宋_GB2312" w:eastAsia="仿宋_GB2312" w:hAnsiTheme="minorEastAsia"/>
          <w:sz w:val="32"/>
          <w:szCs w:val="32"/>
        </w:rPr>
        <w:t>，对需要进入城市限行、禁行区域的货车，发放指定时间和线路的通行证。科学规划城市配送车辆专用临时停车位或临时停车场。制定政策积极引导支持使用新能源</w:t>
      </w:r>
      <w:r>
        <w:rPr>
          <w:rFonts w:ascii="仿宋_GB2312" w:eastAsia="仿宋_GB2312" w:hAnsiTheme="minorEastAsia"/>
          <w:sz w:val="32"/>
          <w:szCs w:val="32"/>
        </w:rPr>
        <w:t>货运配送车辆</w:t>
      </w:r>
      <w:r>
        <w:rPr>
          <w:rFonts w:hint="eastAsia" w:ascii="仿宋_GB2312" w:eastAsia="仿宋_GB2312" w:hAnsiTheme="minorEastAsia"/>
          <w:sz w:val="32"/>
          <w:szCs w:val="32"/>
        </w:rPr>
        <w:t>。鼓励商贸、物流企业协同开展共同配送、夜间配送。指导全国第一批高效配送专项行动试点的湘潭市按试点任务推进试点，总结成效和推广经验模式。对引领作用大、示范性好的地方，认定挂牌为省级电子商务与快递物流协同发展示范县并给予资金支持。尝试在全省范围内开展省级城乡高效配送试点。</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4</w:t>
      </w:r>
      <w:r>
        <w:rPr>
          <w:rFonts w:hint="eastAsia" w:ascii="仿宋_GB2312" w:eastAsia="仿宋_GB2312" w:hAnsiTheme="minorEastAsia"/>
          <w:b/>
          <w:sz w:val="32"/>
          <w:szCs w:val="32"/>
        </w:rPr>
        <w:t>）推进农村</w:t>
      </w:r>
      <w:r>
        <w:rPr>
          <w:rFonts w:ascii="仿宋_GB2312" w:eastAsia="仿宋_GB2312" w:hAnsiTheme="minorEastAsia"/>
          <w:b/>
          <w:sz w:val="32"/>
          <w:szCs w:val="32"/>
        </w:rPr>
        <w:t>物流发展</w:t>
      </w:r>
      <w:r>
        <w:rPr>
          <w:rFonts w:hint="eastAsia" w:ascii="仿宋_GB2312" w:eastAsia="仿宋_GB2312" w:hAnsiTheme="minorEastAsia"/>
          <w:b/>
          <w:sz w:val="32"/>
          <w:szCs w:val="32"/>
        </w:rPr>
        <w:t>。</w:t>
      </w:r>
      <w:r>
        <w:rPr>
          <w:rFonts w:hint="eastAsia" w:ascii="仿宋_GB2312" w:eastAsia="仿宋_GB2312" w:hAnsiTheme="minorEastAsia"/>
          <w:sz w:val="32"/>
          <w:szCs w:val="32"/>
        </w:rPr>
        <w:t>组织实施《湖南省构建县乡村三级物流配送体系三年行动计划（2019-2021年）》，依托大型骨干企业，加快整合资源、优化流程，实施农村物流基础设施网络、特色农产品冷链物流体系、物流标准化与农产品溯源体系、现代农业物流供应链、农村绿色物流配送体系等建设工程，促进城乡联通、高效对接。在规划农村客运站所、村级服务中心等基础设施建设时，纳入邮政快递功能，减轻重复建设、重复投资等问题，实现共建共享、功能融合，降低运营成本。相关涉农资金应对农村快递网络建设特别是下沉到村级的快递站点，提升网点运营的稳定性，让农村更好享受便捷寄递服务。充分整合物流行业，利用好省农业农村厅建立的信息进村入户平台，实现农村物流信息共享。发挥好物流行业进村入户，打通县、乡、村商品流通体系建设“最后一公里”作用，实现农产品产销对接、农业信息互通。</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5</w:t>
      </w:r>
      <w:r>
        <w:rPr>
          <w:rFonts w:hint="eastAsia" w:ascii="仿宋_GB2312" w:eastAsia="仿宋_GB2312" w:hAnsiTheme="minorEastAsia"/>
          <w:b/>
          <w:sz w:val="32"/>
          <w:szCs w:val="32"/>
        </w:rPr>
        <w:t>）探索物流</w:t>
      </w:r>
      <w:r>
        <w:rPr>
          <w:rFonts w:ascii="仿宋_GB2312" w:eastAsia="仿宋_GB2312" w:hAnsiTheme="minorEastAsia"/>
          <w:b/>
          <w:sz w:val="32"/>
          <w:szCs w:val="32"/>
        </w:rPr>
        <w:t>信息资源</w:t>
      </w:r>
      <w:r>
        <w:rPr>
          <w:rFonts w:hint="eastAsia" w:ascii="仿宋_GB2312" w:eastAsia="仿宋_GB2312" w:hAnsiTheme="minorEastAsia"/>
          <w:b/>
          <w:sz w:val="32"/>
          <w:szCs w:val="32"/>
        </w:rPr>
        <w:t>交互</w:t>
      </w:r>
      <w:r>
        <w:rPr>
          <w:rFonts w:ascii="仿宋_GB2312" w:eastAsia="仿宋_GB2312" w:hAnsiTheme="minorEastAsia"/>
          <w:b/>
          <w:sz w:val="32"/>
          <w:szCs w:val="32"/>
        </w:rPr>
        <w:t>共享。</w:t>
      </w:r>
      <w:r>
        <w:rPr>
          <w:rFonts w:hint="eastAsia" w:ascii="仿宋_GB2312" w:eastAsia="仿宋_GB2312" w:hAnsiTheme="minorEastAsia"/>
          <w:sz w:val="32"/>
          <w:szCs w:val="32"/>
        </w:rPr>
        <w:t>制定和实施《湖南省政务信息资源共享管理办法》，推进物流公共信息数据、通用接口等标准制（修）订工作，促进政府相关部门物流公共数据互联互通和开放共享,为物流企业和制造企业查询提供便利。完善市（州）、行业、园区物流公共信息平台，推进物流信息系统数据接入湖南省物流公共信息平台，建设全省物流大数据中心，促进大数据在市场预测、物流中心选址、优化配送线路、仓库储位等多方面的应用。</w:t>
      </w:r>
    </w:p>
    <w:p>
      <w:pPr>
        <w:pStyle w:val="33"/>
        <w:overflowPunct w:val="0"/>
        <w:spacing w:line="720" w:lineRule="atLeast"/>
        <w:ind w:firstLine="672"/>
        <w:rPr>
          <w:rFonts w:ascii="仿宋_GB2312" w:eastAsia="仿宋_GB2312" w:hAnsiTheme="minorEastAsia"/>
          <w:sz w:val="32"/>
          <w:szCs w:val="32"/>
        </w:rPr>
      </w:pPr>
      <w:r>
        <w:rPr>
          <w:rFonts w:hint="eastAsia" w:eastAsia="仿宋_GB2312"/>
          <w:b/>
          <w:bCs/>
          <w:sz w:val="32"/>
          <w:szCs w:val="32"/>
        </w:rPr>
        <w:t>预期成效</w:t>
      </w:r>
      <w:r>
        <w:rPr>
          <w:rFonts w:hint="eastAsia" w:eastAsia="仿宋_GB2312"/>
          <w:bCs/>
          <w:sz w:val="32"/>
          <w:szCs w:val="32"/>
        </w:rPr>
        <w:t>：各种物流枢纽的物流集聚效应充分释放，辐射带动作用进一步增强，</w:t>
      </w:r>
      <w:r>
        <w:rPr>
          <w:rFonts w:eastAsia="仿宋_GB2312"/>
          <w:bCs/>
          <w:sz w:val="32"/>
          <w:szCs w:val="32"/>
        </w:rPr>
        <w:t>集散分拨、快速转换、信息服务、资源整合功能明显增强</w:t>
      </w:r>
      <w:r>
        <w:rPr>
          <w:rFonts w:hint="eastAsia" w:eastAsia="仿宋_GB2312"/>
          <w:bCs/>
          <w:sz w:val="32"/>
          <w:szCs w:val="32"/>
        </w:rPr>
        <w:t>，物流服务功能显著完善。</w:t>
      </w:r>
      <w:r>
        <w:rPr>
          <w:rFonts w:hint="eastAsia" w:eastAsia="仿宋_GB2312"/>
          <w:sz w:val="32"/>
          <w:szCs w:val="32"/>
        </w:rPr>
        <w:t>农村物流发展的部门合作和行业联动进一步增强，农村物流网络不断完善。</w:t>
      </w:r>
      <w:r>
        <w:rPr>
          <w:rFonts w:hint="eastAsia" w:eastAsia="仿宋_GB2312"/>
          <w:sz w:val="32"/>
          <w:szCs w:val="28"/>
        </w:rPr>
        <w:t>城市货运配送组织效率显著提升，城市配送运输成本和配送车辆能耗水平有效降低。</w:t>
      </w:r>
      <w:r>
        <w:rPr>
          <w:rFonts w:hint="eastAsia" w:eastAsia="仿宋_GB2312"/>
          <w:sz w:val="32"/>
          <w:szCs w:val="32"/>
        </w:rPr>
        <w:t>信息共享和数据开放水平大幅提升，行业主要业务领域运用大数据能力显著提高，信息化发展环境进一步优化，信息化在物流现代化方面发挥重要作用。</w:t>
      </w:r>
    </w:p>
    <w:p>
      <w:pPr>
        <w:pStyle w:val="3"/>
        <w:rPr>
          <w:rFonts w:ascii="楷体" w:hAnsi="楷体" w:eastAsia="楷体"/>
        </w:rPr>
      </w:pPr>
      <w:bookmarkStart w:id="95" w:name="_Toc7300035"/>
      <w:bookmarkStart w:id="96" w:name="_Toc7300077"/>
      <w:r>
        <w:rPr>
          <w:rFonts w:hint="eastAsia" w:ascii="楷体" w:hAnsi="楷体" w:eastAsia="楷体"/>
        </w:rPr>
        <w:t>4.2.</w:t>
      </w:r>
      <w:r>
        <w:rPr>
          <w:rFonts w:ascii="楷体" w:hAnsi="楷体" w:eastAsia="楷体"/>
        </w:rPr>
        <w:t>4</w:t>
      </w:r>
      <w:r>
        <w:rPr>
          <w:rFonts w:hint="eastAsia" w:ascii="楷体" w:hAnsi="楷体" w:eastAsia="楷体"/>
        </w:rPr>
        <w:t>加快发展</w:t>
      </w:r>
      <w:r>
        <w:rPr>
          <w:rFonts w:ascii="楷体" w:hAnsi="楷体" w:eastAsia="楷体"/>
        </w:rPr>
        <w:t>多式联运</w:t>
      </w:r>
      <w:bookmarkEnd w:id="95"/>
      <w:bookmarkEnd w:id="96"/>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（1）加快</w:t>
      </w:r>
      <w:r>
        <w:rPr>
          <w:rFonts w:ascii="仿宋_GB2312" w:eastAsia="仿宋_GB2312" w:hAnsiTheme="minorEastAsia"/>
          <w:b/>
          <w:sz w:val="32"/>
          <w:szCs w:val="32"/>
        </w:rPr>
        <w:t>运输结构调整。</w:t>
      </w:r>
      <w:r>
        <w:rPr>
          <w:rFonts w:hint="eastAsia" w:ascii="仿宋_GB2312" w:eastAsia="仿宋_GB2312" w:hAnsiTheme="minorEastAsia"/>
          <w:sz w:val="32"/>
          <w:szCs w:val="32"/>
        </w:rPr>
        <w:t>做好《湖南省推进运输结构调整三年行动计划实施方案》（湘政办发[2019]5号）有关要求的落地工作，提高铁路运输占比，对钢电厂水转公运输的货运通过政策引导，全部转移至铁路运输，尤其是要将长沙港、湘潭港转公路运输至涟钢的铁矿、煤炭，东阳渡水转公运输至祁阳海螺的煤炭，转移至铁路运输，并给予运输力保障，确保2019年全省铁路货物发送量达到4500万吨。</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（2）大力推进</w:t>
      </w:r>
      <w:r>
        <w:rPr>
          <w:rFonts w:ascii="仿宋_GB2312" w:eastAsia="仿宋_GB2312" w:hAnsiTheme="minorEastAsia"/>
          <w:b/>
          <w:sz w:val="32"/>
          <w:szCs w:val="32"/>
        </w:rPr>
        <w:t>多式联运。</w:t>
      </w:r>
      <w:r>
        <w:rPr>
          <w:rFonts w:hint="eastAsia" w:ascii="仿宋_GB2312" w:eastAsia="仿宋_GB2312" w:hAnsiTheme="minorEastAsia"/>
          <w:sz w:val="32"/>
          <w:szCs w:val="32"/>
        </w:rPr>
        <w:t>大力发展铁水联运、公铁联运、陆空联运等先进运输组织方式，推进岳阳市城陵矶港、长沙港集装箱公铁水联运、怀化武陵山片区3个国家多式联运示范工程，加快推进岳阳市公路甩挂运输试点工作，推动建设国际多式联运监管中心，支持省内骨干运输企业向多式联运经营人、综合物流服务商转型。开展高速公路服务区与物流园区融合发展课题研究。加快推进航运、港口、铁路企业之间的业务单证电子化，逐步实现多式联运单证统一，实现联运业务“一单制”及全程一个费率的联运价格机制。争取厂矿等大型企业对铁路支持，并与铁路签订量价互保协议，提高协议制运输比重，确保全年协议运量完成3200万吨，力争达到3500万吨。做大做强长沙北商品车基地，实现商品车运量持续增长，确保2019年商品车运量达到18万台。推广岳阳北、岳阳南开行到娄底、冷水江东循环班列的经验。积极研究</w:t>
      </w:r>
      <w:r>
        <w:rPr>
          <w:rFonts w:ascii="仿宋_GB2312" w:eastAsia="仿宋_GB2312" w:hAnsiTheme="minorEastAsia"/>
          <w:sz w:val="32"/>
          <w:szCs w:val="32"/>
        </w:rPr>
        <w:t>，尽早</w:t>
      </w:r>
      <w:r>
        <w:rPr>
          <w:rFonts w:hint="eastAsia" w:ascii="仿宋_GB2312" w:eastAsia="仿宋_GB2312" w:hAnsiTheme="minorEastAsia"/>
          <w:sz w:val="32"/>
          <w:szCs w:val="32"/>
        </w:rPr>
        <w:t>明确“中欧班列”的发展目标与分期规划，引导运营主体企业良性竞争， 确保2019年中欧班列运量不低于300列。</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）加快建设</w:t>
      </w:r>
      <w:r>
        <w:rPr>
          <w:rFonts w:ascii="仿宋_GB2312" w:eastAsia="仿宋_GB2312" w:hAnsiTheme="minorEastAsia"/>
          <w:b/>
          <w:sz w:val="32"/>
          <w:szCs w:val="32"/>
        </w:rPr>
        <w:t>省级多式联运信息平台</w:t>
      </w:r>
      <w:r>
        <w:rPr>
          <w:rFonts w:hint="eastAsia" w:ascii="仿宋_GB2312" w:eastAsia="仿宋_GB2312" w:hAnsiTheme="minorEastAsia"/>
          <w:b/>
          <w:sz w:val="32"/>
          <w:szCs w:val="32"/>
        </w:rPr>
        <w:t>。</w:t>
      </w:r>
      <w:r>
        <w:rPr>
          <w:rFonts w:hint="eastAsia" w:ascii="仿宋_GB2312" w:eastAsia="仿宋_GB2312" w:hAnsiTheme="minorEastAsia"/>
          <w:sz w:val="32"/>
          <w:szCs w:val="32"/>
        </w:rPr>
        <w:t>依托湖南交通物流信息共享平台，加快建设多式联运公共信息平台，推进交通运输、海关、市场监管等部门间信息开放共享，为企业提供一站式综合政务信息服务。实现铁路现车、装卸车、货物在途、到达预确报以及港口装卸、货物堆存、船舶进出港、船期舱位预定、通关等铁水联运信息互联共享。依托交通运输部交通运输物流信息共享标准，完善多式联运信息交换接口标准体系，强化多式联运数据交换电子报文标准应用。到2020年底，基本建成全省多式联运公共信息平台,全省主要内河水运港口实现公水联运信息交换共享。</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（4）切实</w:t>
      </w:r>
      <w:r>
        <w:rPr>
          <w:rFonts w:ascii="仿宋_GB2312" w:eastAsia="仿宋_GB2312" w:hAnsiTheme="minorEastAsia"/>
          <w:b/>
          <w:sz w:val="32"/>
          <w:szCs w:val="32"/>
        </w:rPr>
        <w:t>降低铁路</w:t>
      </w:r>
      <w:r>
        <w:rPr>
          <w:rFonts w:hint="eastAsia" w:ascii="仿宋_GB2312" w:eastAsia="仿宋_GB2312" w:hAnsiTheme="minorEastAsia"/>
          <w:b/>
          <w:sz w:val="32"/>
          <w:szCs w:val="32"/>
        </w:rPr>
        <w:t>运价。</w:t>
      </w:r>
      <w:r>
        <w:rPr>
          <w:rFonts w:hint="eastAsia" w:ascii="仿宋_GB2312" w:eastAsia="仿宋_GB2312" w:hAnsiTheme="minorEastAsia"/>
          <w:sz w:val="32"/>
          <w:szCs w:val="32"/>
        </w:rPr>
        <w:t>根据《中国铁路总公司货运部关于开展专用线代运营代维护相关服务和收费调研的通知》要求，落实国家关于进一步清理规范铁路货运相关收费的要求，切实减轻铁路专用线企业负担，提高铁路货运市场竞争力，认真组织，细致做好专用线代运营代维护等服务和收费调研工作。严格落实《中国铁路总公司办公厅转发国家发改委市场监管总局&lt;关于进一步清理规范铁路货物运输收费的通知&gt;的通知》（铁总办货〔2019〕33号）要求，进一步清理铁路各项收费，确保各项收费依法合规。用好运价政策，做优运价项目，服务企业经营发展，充分发挥运价政策杠杆作用，为运量大、货源稳的企业客户，设计针对性运价项目。运价政策应坚持对“新增、大宗稳定、重点客户及远距离、高运价”等四类货源优先；强化运价项目质量管理，严格落实项目负责制。</w:t>
      </w:r>
    </w:p>
    <w:p>
      <w:pPr>
        <w:pStyle w:val="33"/>
        <w:overflowPunct w:val="0"/>
        <w:spacing w:line="720" w:lineRule="atLeast"/>
        <w:ind w:firstLine="672"/>
        <w:rPr>
          <w:rFonts w:eastAsia="仿宋_GB2312"/>
          <w:sz w:val="32"/>
          <w:szCs w:val="32"/>
        </w:rPr>
      </w:pPr>
      <w:r>
        <w:rPr>
          <w:rFonts w:hint="eastAsia" w:eastAsia="仿宋_GB2312"/>
          <w:b/>
          <w:sz w:val="32"/>
          <w:szCs w:val="32"/>
        </w:rPr>
        <w:t>预期成效</w:t>
      </w:r>
      <w:r>
        <w:rPr>
          <w:rFonts w:hint="eastAsia" w:eastAsia="仿宋_GB2312"/>
          <w:sz w:val="32"/>
          <w:szCs w:val="32"/>
        </w:rPr>
        <w:t>：多式联运比例显著提高，运输结构更趋合理，运输效率显著提升，多式联运法规制度和标准规范逐步完善，市场环境更为优化，培育形成一批服务优质、管理规范、竞争力强的龙头骨干多式联运市场主体。</w:t>
      </w:r>
    </w:p>
    <w:p>
      <w:pPr>
        <w:pStyle w:val="3"/>
        <w:rPr>
          <w:rFonts w:ascii="楷体" w:hAnsi="楷体" w:eastAsia="楷体"/>
        </w:rPr>
      </w:pPr>
      <w:bookmarkStart w:id="97" w:name="_Toc7300078"/>
      <w:bookmarkStart w:id="98" w:name="_Toc7300036"/>
      <w:r>
        <w:rPr>
          <w:rFonts w:hint="eastAsia" w:ascii="楷体" w:hAnsi="楷体" w:eastAsia="楷体"/>
        </w:rPr>
        <w:t>4.</w:t>
      </w:r>
      <w:r>
        <w:rPr>
          <w:rFonts w:ascii="楷体" w:hAnsi="楷体" w:eastAsia="楷体"/>
        </w:rPr>
        <w:t>5</w:t>
      </w:r>
      <w:r>
        <w:rPr>
          <w:rFonts w:hint="eastAsia" w:ascii="楷体" w:hAnsi="楷体" w:eastAsia="楷体"/>
        </w:rPr>
        <w:t>强化物流用地保障</w:t>
      </w:r>
      <w:bookmarkEnd w:id="97"/>
      <w:bookmarkEnd w:id="98"/>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（1）加强对物流发展规划和用地支持。</w:t>
      </w:r>
      <w:r>
        <w:rPr>
          <w:rFonts w:hint="eastAsia" w:ascii="仿宋_GB2312" w:eastAsia="仿宋_GB2312" w:hAnsiTheme="minorEastAsia"/>
          <w:sz w:val="32"/>
          <w:szCs w:val="32"/>
        </w:rPr>
        <w:t>湖南省各地要在土地利用总体规划、城市总体规划中综合考虑物流发展用地,统筹安排物流及配套公共服务设施用地选址和布局,在综合交通枢纽、产业集聚区等物流集散地布局和完善一批物流园区、配送中心,确保规划和物流用地落实,禁止随意变更。对国家物流枢纽</w:t>
      </w:r>
      <w:r>
        <w:rPr>
          <w:rFonts w:ascii="仿宋_GB2312" w:eastAsia="仿宋_GB2312" w:hAnsiTheme="minorEastAsia"/>
          <w:sz w:val="32"/>
          <w:szCs w:val="32"/>
        </w:rPr>
        <w:t>、</w:t>
      </w:r>
      <w:r>
        <w:rPr>
          <w:rFonts w:hint="eastAsia" w:ascii="仿宋_GB2312" w:eastAsia="仿宋_GB2312" w:hAnsiTheme="minorEastAsia"/>
          <w:sz w:val="32"/>
          <w:szCs w:val="32"/>
        </w:rPr>
        <w:t>国家和省级示范物流园区、省级现代服务业专业园区新增物流仓储用地给予重点保障。对符合省支持和保障重大产业项目用地计划暂行办法的物流项目，优先安排用地计划。对政府供应的物流用地，应纳入年度建设用地供应计划，依法采取招标、拍卖或挂牌等方式出让。</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2</w:t>
      </w:r>
      <w:r>
        <w:rPr>
          <w:rFonts w:hint="eastAsia" w:ascii="仿宋_GB2312" w:eastAsia="仿宋_GB2312" w:hAnsiTheme="minorEastAsia"/>
          <w:b/>
          <w:sz w:val="32"/>
          <w:szCs w:val="32"/>
        </w:rPr>
        <w:t>）创新</w:t>
      </w:r>
      <w:r>
        <w:rPr>
          <w:rFonts w:ascii="仿宋_GB2312" w:eastAsia="仿宋_GB2312" w:hAnsiTheme="minorEastAsia"/>
          <w:b/>
          <w:sz w:val="32"/>
          <w:szCs w:val="32"/>
        </w:rPr>
        <w:t>物流用地政策</w:t>
      </w:r>
      <w:r>
        <w:rPr>
          <w:rFonts w:hint="eastAsia" w:ascii="仿宋_GB2312" w:eastAsia="仿宋_GB2312" w:hAnsiTheme="minorEastAsia"/>
          <w:b/>
          <w:sz w:val="32"/>
          <w:szCs w:val="32"/>
        </w:rPr>
        <w:t>。</w:t>
      </w:r>
      <w:r>
        <w:rPr>
          <w:rFonts w:hint="eastAsia" w:ascii="仿宋_GB2312" w:eastAsia="仿宋_GB2312" w:hAnsiTheme="minorEastAsia"/>
          <w:sz w:val="32"/>
          <w:szCs w:val="32"/>
        </w:rPr>
        <w:t>按规定参照工业用地政策实行“弹性年期出让”、“先租后让”、“租让结合”的土地供应制度，为企业提供一整套用地解决方案，切实降低物流企业用地成本，加快项目落地，提高土地使用效率。将城区快递网络节点建设纳入城区布局规划，预留规划用地。</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3</w:t>
      </w:r>
      <w:r>
        <w:rPr>
          <w:rFonts w:hint="eastAsia" w:ascii="仿宋_GB2312" w:eastAsia="仿宋_GB2312" w:hAnsiTheme="minorEastAsia"/>
          <w:b/>
          <w:sz w:val="32"/>
          <w:szCs w:val="32"/>
        </w:rPr>
        <w:t>）探索</w:t>
      </w:r>
      <w:r>
        <w:rPr>
          <w:rFonts w:ascii="仿宋_GB2312" w:eastAsia="仿宋_GB2312" w:hAnsiTheme="minorEastAsia"/>
          <w:b/>
          <w:sz w:val="32"/>
          <w:szCs w:val="32"/>
        </w:rPr>
        <w:t>闲置土地</w:t>
      </w:r>
      <w:r>
        <w:rPr>
          <w:rFonts w:hint="eastAsia" w:ascii="仿宋_GB2312" w:eastAsia="仿宋_GB2312" w:hAnsiTheme="minorEastAsia"/>
          <w:b/>
          <w:sz w:val="32"/>
          <w:szCs w:val="32"/>
        </w:rPr>
        <w:t>开展</w:t>
      </w:r>
      <w:r>
        <w:rPr>
          <w:rFonts w:ascii="仿宋_GB2312" w:eastAsia="仿宋_GB2312" w:hAnsiTheme="minorEastAsia"/>
          <w:b/>
          <w:sz w:val="32"/>
          <w:szCs w:val="32"/>
        </w:rPr>
        <w:t>物流</w:t>
      </w:r>
      <w:r>
        <w:rPr>
          <w:rFonts w:hint="eastAsia" w:ascii="仿宋_GB2312" w:eastAsia="仿宋_GB2312" w:hAnsiTheme="minorEastAsia"/>
          <w:b/>
          <w:sz w:val="32"/>
          <w:szCs w:val="32"/>
        </w:rPr>
        <w:t>服务。</w:t>
      </w:r>
      <w:r>
        <w:rPr>
          <w:rFonts w:hint="eastAsia" w:ascii="仿宋_GB2312" w:eastAsia="仿宋_GB2312" w:hAnsiTheme="minorEastAsia"/>
          <w:sz w:val="32"/>
          <w:szCs w:val="32"/>
        </w:rPr>
        <w:t>结合第三次土地调查工作，全面查清查实城镇低效用地情况，督促低效用地主体再开发再利用，鼓励符合条件的低效用地采取土地转让、出租、临时使用等形式，用于物流设施或提供物流服务，对实行开发改造提高工业用地容积率的地块按规定不增加土地价款。在符合城乡规划、土地利用总体规划的基础上,支持利用工业企业旧厂房、仓库和存量土地资源建设物流设施或提供物流服务,涉及原划拨土地使用权转让和租赁的,经批准可采取协议方式办理土地有偿使用手续。</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eastAsia="仿宋_GB2312"/>
          <w:b/>
          <w:sz w:val="32"/>
          <w:szCs w:val="32"/>
        </w:rPr>
        <w:t>预期成效</w:t>
      </w:r>
      <w:r>
        <w:rPr>
          <w:rFonts w:hint="eastAsia" w:eastAsia="仿宋_GB2312"/>
          <w:sz w:val="32"/>
          <w:szCs w:val="32"/>
        </w:rPr>
        <w:t>：强化</w:t>
      </w:r>
      <w:r>
        <w:rPr>
          <w:rFonts w:eastAsia="仿宋_GB2312"/>
          <w:sz w:val="32"/>
          <w:szCs w:val="32"/>
        </w:rPr>
        <w:t>物流</w:t>
      </w:r>
      <w:r>
        <w:rPr>
          <w:rFonts w:hint="eastAsia" w:eastAsia="仿宋_GB2312"/>
          <w:sz w:val="32"/>
          <w:szCs w:val="32"/>
        </w:rPr>
        <w:t>发展</w:t>
      </w:r>
      <w:r>
        <w:rPr>
          <w:rFonts w:eastAsia="仿宋_GB2312"/>
          <w:sz w:val="32"/>
          <w:szCs w:val="32"/>
        </w:rPr>
        <w:t>规划，</w:t>
      </w:r>
      <w:r>
        <w:rPr>
          <w:rFonts w:hint="eastAsia" w:ascii="仿宋_GB2312" w:eastAsia="仿宋_GB2312" w:hAnsiTheme="minorEastAsia"/>
          <w:sz w:val="32"/>
          <w:szCs w:val="32"/>
        </w:rPr>
        <w:t>确保规划和物流用地落实,可为</w:t>
      </w:r>
      <w:r>
        <w:rPr>
          <w:rFonts w:ascii="仿宋_GB2312" w:eastAsia="仿宋_GB2312" w:hAnsiTheme="minorEastAsia"/>
          <w:sz w:val="32"/>
          <w:szCs w:val="32"/>
        </w:rPr>
        <w:t>物流园区建设提供</w:t>
      </w:r>
      <w:r>
        <w:rPr>
          <w:rFonts w:hint="eastAsia" w:ascii="仿宋_GB2312" w:eastAsia="仿宋_GB2312" w:hAnsiTheme="minorEastAsia"/>
          <w:sz w:val="32"/>
          <w:szCs w:val="32"/>
        </w:rPr>
        <w:t>用地保障</w:t>
      </w:r>
      <w:r>
        <w:rPr>
          <w:rFonts w:ascii="仿宋_GB2312" w:eastAsia="仿宋_GB2312" w:hAnsiTheme="minorEastAsia"/>
          <w:sz w:val="32"/>
          <w:szCs w:val="32"/>
        </w:rPr>
        <w:t>。</w:t>
      </w:r>
      <w:r>
        <w:rPr>
          <w:rFonts w:hint="eastAsia" w:ascii="仿宋_GB2312" w:eastAsia="仿宋_GB2312" w:hAnsiTheme="minorEastAsia"/>
          <w:sz w:val="32"/>
          <w:szCs w:val="32"/>
        </w:rPr>
        <w:t>创新灵活性</w:t>
      </w:r>
      <w:r>
        <w:rPr>
          <w:rFonts w:ascii="仿宋_GB2312" w:eastAsia="仿宋_GB2312" w:hAnsiTheme="minorEastAsia"/>
          <w:sz w:val="32"/>
          <w:szCs w:val="32"/>
        </w:rPr>
        <w:t>物流用地</w:t>
      </w:r>
      <w:r>
        <w:rPr>
          <w:rFonts w:hint="eastAsia" w:ascii="仿宋_GB2312" w:eastAsia="仿宋_GB2312" w:hAnsiTheme="minorEastAsia"/>
          <w:sz w:val="32"/>
          <w:szCs w:val="32"/>
        </w:rPr>
        <w:t>政策</w:t>
      </w:r>
      <w:r>
        <w:rPr>
          <w:rFonts w:ascii="仿宋_GB2312" w:eastAsia="仿宋_GB2312" w:hAnsiTheme="minorEastAsia"/>
          <w:sz w:val="32"/>
          <w:szCs w:val="32"/>
        </w:rPr>
        <w:t>，开展闲置土地开展物流服务，可在近期有效的提高物流用地</w:t>
      </w:r>
      <w:r>
        <w:rPr>
          <w:rFonts w:hint="eastAsia" w:ascii="仿宋_GB2312" w:eastAsia="仿宋_GB2312" w:hAnsiTheme="minorEastAsia"/>
          <w:sz w:val="32"/>
          <w:szCs w:val="32"/>
        </w:rPr>
        <w:t>获得和使用效率，</w:t>
      </w:r>
      <w:r>
        <w:rPr>
          <w:rFonts w:ascii="仿宋_GB2312" w:eastAsia="仿宋_GB2312" w:hAnsiTheme="minorEastAsia"/>
          <w:sz w:val="32"/>
          <w:szCs w:val="32"/>
        </w:rPr>
        <w:t>有利于尽快打造形成物流节点</w:t>
      </w:r>
      <w:r>
        <w:rPr>
          <w:rFonts w:hint="eastAsia" w:ascii="仿宋_GB2312" w:eastAsia="仿宋_GB2312" w:hAnsiTheme="minorEastAsia"/>
          <w:sz w:val="32"/>
          <w:szCs w:val="32"/>
        </w:rPr>
        <w:t>网络</w:t>
      </w:r>
      <w:r>
        <w:rPr>
          <w:rFonts w:ascii="仿宋_GB2312" w:eastAsia="仿宋_GB2312" w:hAnsiTheme="minorEastAsia"/>
          <w:sz w:val="32"/>
          <w:szCs w:val="32"/>
        </w:rPr>
        <w:t>体系。</w:t>
      </w:r>
    </w:p>
    <w:p>
      <w:pPr>
        <w:pStyle w:val="3"/>
        <w:rPr>
          <w:rFonts w:ascii="楷体" w:hAnsi="楷体" w:eastAsia="楷体"/>
        </w:rPr>
      </w:pPr>
      <w:bookmarkStart w:id="99" w:name="_Toc7300037"/>
      <w:bookmarkStart w:id="100" w:name="_Toc7300079"/>
      <w:r>
        <w:rPr>
          <w:rFonts w:hint="eastAsia" w:ascii="楷体" w:hAnsi="楷体" w:eastAsia="楷体"/>
        </w:rPr>
        <w:t>4.</w:t>
      </w:r>
      <w:r>
        <w:rPr>
          <w:rFonts w:ascii="楷体" w:hAnsi="楷体" w:eastAsia="楷体"/>
        </w:rPr>
        <w:t>6</w:t>
      </w:r>
      <w:r>
        <w:rPr>
          <w:rFonts w:hint="eastAsia" w:ascii="楷体" w:hAnsi="楷体" w:eastAsia="楷体"/>
        </w:rPr>
        <w:t>拓宽物流融资渠道</w:t>
      </w:r>
      <w:bookmarkEnd w:id="99"/>
      <w:bookmarkEnd w:id="100"/>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（1）拓宽物流企业融资渠道。</w:t>
      </w:r>
      <w:r>
        <w:rPr>
          <w:rFonts w:hint="eastAsia" w:ascii="仿宋_GB2312" w:eastAsia="仿宋_GB2312" w:hAnsiTheme="minorEastAsia"/>
          <w:sz w:val="32"/>
          <w:szCs w:val="32"/>
        </w:rPr>
        <w:t>银行业金融机构要探索适合物流业发展特点的信贷产品和服务方式，在商业可持续、风险可控的前提下，进一步加大信贷支持力度。鼓励银行业金融机构开发支持物流业发展的供应链金融产品和融资服务方案，通过完善供应链信息系统研发，实现对供应链上下游客户的内外部信用评级、综合金融服务、系统性风险管理。支持银行依法探索扩大与物流公司的电子化系统合作。支持符合条件的企业通过发行公司债券、企业债券等多种方式拓宽融资渠道，支持物流企业发行非金融企业债务融资工具筹集资金。支持符合条件的国有企业、金融机构、大型物流企业集团等设立现代物流产业发展投资基金。</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（2）创新物流</w:t>
      </w:r>
      <w:r>
        <w:rPr>
          <w:rFonts w:ascii="仿宋_GB2312" w:eastAsia="仿宋_GB2312" w:hAnsiTheme="minorEastAsia"/>
          <w:b/>
          <w:sz w:val="32"/>
          <w:szCs w:val="32"/>
        </w:rPr>
        <w:t>企业</w:t>
      </w:r>
      <w:r>
        <w:rPr>
          <w:rFonts w:hint="eastAsia" w:ascii="仿宋_GB2312" w:eastAsia="仿宋_GB2312" w:hAnsiTheme="minorEastAsia"/>
          <w:b/>
          <w:sz w:val="32"/>
          <w:szCs w:val="32"/>
        </w:rPr>
        <w:t>融资担保体系。</w:t>
      </w:r>
      <w:r>
        <w:rPr>
          <w:rFonts w:hint="eastAsia" w:ascii="仿宋_GB2312" w:eastAsia="仿宋_GB2312" w:hAnsiTheme="minorEastAsia"/>
          <w:sz w:val="32"/>
          <w:szCs w:val="32"/>
        </w:rPr>
        <w:t>进一步完善我省政府性融资担保体系建设，充分发挥融资担保行业作为“准公共产品”的作用，为中小微物流企业融资提供增信。推动银行业金融机构创新抵质押担保品和方式。支持金融机构开展对应收账款、仓单质押等在线供应链金融服务。</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eastAsia="仿宋_GB2312"/>
          <w:b/>
          <w:sz w:val="32"/>
          <w:szCs w:val="32"/>
        </w:rPr>
        <w:t>预期成效</w:t>
      </w:r>
      <w:r>
        <w:rPr>
          <w:rFonts w:hint="eastAsia" w:eastAsia="仿宋_GB2312"/>
          <w:sz w:val="32"/>
          <w:szCs w:val="32"/>
        </w:rPr>
        <w:t>：</w:t>
      </w:r>
      <w:r>
        <w:rPr>
          <w:rFonts w:ascii="仿宋_GB2312" w:eastAsia="仿宋_GB2312" w:hAnsiTheme="minorEastAsia"/>
          <w:sz w:val="32"/>
          <w:szCs w:val="32"/>
        </w:rPr>
        <w:t>创新投融资支持方式，加大信贷支持力度</w:t>
      </w:r>
      <w:r>
        <w:rPr>
          <w:rFonts w:hint="eastAsia" w:ascii="仿宋_GB2312" w:eastAsia="仿宋_GB2312" w:hAnsiTheme="minorEastAsia"/>
          <w:sz w:val="32"/>
          <w:szCs w:val="32"/>
        </w:rPr>
        <w:t>，</w:t>
      </w:r>
      <w:r>
        <w:rPr>
          <w:rFonts w:ascii="仿宋_GB2312" w:eastAsia="仿宋_GB2312" w:hAnsiTheme="minorEastAsia"/>
          <w:sz w:val="32"/>
          <w:szCs w:val="32"/>
        </w:rPr>
        <w:t>可有效推动供</w:t>
      </w:r>
      <w:r>
        <w:rPr>
          <w:rFonts w:hint="eastAsia" w:ascii="仿宋_GB2312" w:eastAsia="仿宋_GB2312" w:hAnsiTheme="minorEastAsia"/>
          <w:sz w:val="32"/>
          <w:szCs w:val="32"/>
        </w:rPr>
        <w:t>物流</w:t>
      </w:r>
      <w:r>
        <w:rPr>
          <w:rFonts w:ascii="仿宋_GB2312" w:eastAsia="仿宋_GB2312" w:hAnsiTheme="minorEastAsia"/>
          <w:sz w:val="32"/>
          <w:szCs w:val="32"/>
        </w:rPr>
        <w:t>应链金融服务持续健康发展</w:t>
      </w:r>
      <w:r>
        <w:rPr>
          <w:rFonts w:hint="eastAsia" w:ascii="仿宋_GB2312" w:eastAsia="仿宋_GB2312" w:hAnsiTheme="minorEastAsia"/>
          <w:sz w:val="32"/>
          <w:szCs w:val="32"/>
        </w:rPr>
        <w:t>，解决物流企业</w:t>
      </w:r>
      <w:r>
        <w:rPr>
          <w:rFonts w:ascii="仿宋_GB2312" w:eastAsia="仿宋_GB2312" w:hAnsiTheme="minorEastAsia"/>
          <w:sz w:val="32"/>
          <w:szCs w:val="32"/>
        </w:rPr>
        <w:t>融资难问题，缓解企业经营压力，为</w:t>
      </w:r>
      <w:r>
        <w:rPr>
          <w:rFonts w:hint="eastAsia" w:ascii="仿宋_GB2312" w:eastAsia="仿宋_GB2312" w:hAnsiTheme="minorEastAsia"/>
          <w:sz w:val="32"/>
          <w:szCs w:val="32"/>
        </w:rPr>
        <w:t>培育</w:t>
      </w:r>
      <w:r>
        <w:rPr>
          <w:rFonts w:ascii="仿宋_GB2312" w:eastAsia="仿宋_GB2312" w:hAnsiTheme="minorEastAsia"/>
          <w:sz w:val="32"/>
          <w:szCs w:val="32"/>
        </w:rPr>
        <w:t>形成一批具有较强国际竞争力的现代物流企业集团</w:t>
      </w:r>
      <w:r>
        <w:rPr>
          <w:rFonts w:hint="eastAsia" w:ascii="仿宋_GB2312" w:eastAsia="仿宋_GB2312" w:hAnsiTheme="minorEastAsia"/>
          <w:sz w:val="32"/>
          <w:szCs w:val="32"/>
        </w:rPr>
        <w:t>具有</w:t>
      </w:r>
      <w:r>
        <w:rPr>
          <w:rFonts w:ascii="仿宋_GB2312" w:eastAsia="仿宋_GB2312" w:hAnsiTheme="minorEastAsia"/>
          <w:sz w:val="32"/>
          <w:szCs w:val="32"/>
        </w:rPr>
        <w:t>重要作用。</w:t>
      </w:r>
    </w:p>
    <w:p>
      <w:pPr>
        <w:pStyle w:val="3"/>
        <w:rPr>
          <w:rFonts w:ascii="楷体" w:hAnsi="楷体" w:eastAsia="楷体"/>
        </w:rPr>
      </w:pPr>
      <w:bookmarkStart w:id="101" w:name="_Toc7300038"/>
      <w:bookmarkStart w:id="102" w:name="_Toc7300080"/>
      <w:r>
        <w:rPr>
          <w:rFonts w:hint="eastAsia" w:ascii="楷体" w:hAnsi="楷体" w:eastAsia="楷体"/>
        </w:rPr>
        <w:t>4.</w:t>
      </w:r>
      <w:r>
        <w:rPr>
          <w:rFonts w:ascii="楷体" w:hAnsi="楷体" w:eastAsia="楷体"/>
        </w:rPr>
        <w:t>7</w:t>
      </w:r>
      <w:r>
        <w:rPr>
          <w:rFonts w:hint="eastAsia" w:ascii="楷体" w:hAnsi="楷体" w:eastAsia="楷体"/>
        </w:rPr>
        <w:t>提高物流标准化</w:t>
      </w:r>
      <w:r>
        <w:rPr>
          <w:rFonts w:ascii="楷体" w:hAnsi="楷体" w:eastAsia="楷体"/>
        </w:rPr>
        <w:t>水平</w:t>
      </w:r>
      <w:bookmarkEnd w:id="101"/>
      <w:bookmarkEnd w:id="102"/>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（1）加快完善物流标准体系。</w:t>
      </w:r>
      <w:r>
        <w:rPr>
          <w:rFonts w:hint="eastAsia" w:ascii="仿宋_GB2312" w:eastAsia="仿宋_GB2312" w:hAnsiTheme="minorEastAsia"/>
          <w:sz w:val="32"/>
          <w:szCs w:val="32"/>
        </w:rPr>
        <w:t>支持我省科研院所、企业主导或参与物流国家、行业、地方标准的制修订和标准化研究工作，完善物流标准体系建设。配合相关行业主管部门，加大对现行国家、行业、地方标准的推广实施与应用。对国家、行业标准没有涵盖的领域，结合我省实际情况，组织制定配套、协调的地方标准。发挥市场主体作用，鼓励企业采用先进的国际通用标准。鼓励大型连锁物流企业、社会团体制定、实施严于国家、行业标准的企业标准、团体标准。</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（2）推进物流标准化试点示范。</w:t>
      </w:r>
      <w:r>
        <w:rPr>
          <w:rFonts w:hint="eastAsia" w:ascii="仿宋_GB2312" w:eastAsia="仿宋_GB2312" w:hAnsiTheme="minorEastAsia"/>
          <w:sz w:val="32"/>
          <w:szCs w:val="32"/>
        </w:rPr>
        <w:t>继续推进我省国家级、省级物流服务标准化试点建设，大力支持怀化、岳阳、常德等物流标准化示范城市建设。鼓励有实力的物流企业研究、制定一批促进不同运输方式、载运器具相互衔接的标准，带动中小微物流企业标准化服务水平，重点提升快速消费品、农副产品、药品等民生领域物流服务标准化水平。</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（3）加强物流</w:t>
      </w:r>
      <w:r>
        <w:rPr>
          <w:rFonts w:ascii="仿宋_GB2312" w:eastAsia="仿宋_GB2312" w:hAnsiTheme="minorEastAsia"/>
          <w:b/>
          <w:sz w:val="32"/>
          <w:szCs w:val="32"/>
        </w:rPr>
        <w:t>装载单元</w:t>
      </w:r>
      <w:r>
        <w:rPr>
          <w:rFonts w:hint="eastAsia" w:ascii="仿宋_GB2312" w:eastAsia="仿宋_GB2312" w:hAnsiTheme="minorEastAsia"/>
          <w:b/>
          <w:sz w:val="32"/>
          <w:szCs w:val="32"/>
        </w:rPr>
        <w:t>标准化建设</w:t>
      </w:r>
      <w:r>
        <w:rPr>
          <w:rFonts w:ascii="仿宋_GB2312" w:eastAsia="仿宋_GB2312" w:hAnsiTheme="minorEastAsia"/>
          <w:b/>
          <w:sz w:val="32"/>
          <w:szCs w:val="32"/>
        </w:rPr>
        <w:t>。</w:t>
      </w:r>
      <w:r>
        <w:rPr>
          <w:rFonts w:hint="eastAsia" w:ascii="仿宋_GB2312" w:eastAsia="仿宋_GB2312" w:hAnsiTheme="minorEastAsia"/>
          <w:sz w:val="32"/>
          <w:szCs w:val="32"/>
        </w:rPr>
        <w:t>推广应用先进信息技术及装备，提升仓储、运输、分拣、包装等作业效率和仓储管理水平，降低仓储管理成本。大力推广使用铁路小型集装箱技术标准，引导和支持物流企业进行物流设施设备标准化改造，推广使用共用托盘、集装箱等标准化基础装载单元。推广1200mm×1000mm标准托盘和600mm×400mm包装基础模数，从商贸领域向制造领域延伸，促进包装箱、托盘、周转箱、集装箱等上下游设施设备的标准化，推动标准装载单元器具的循环共用，做好与相关运输工具的衔接，提升物流效率，降低包装、搬倒等成本。</w:t>
      </w:r>
    </w:p>
    <w:p>
      <w:pPr>
        <w:pStyle w:val="6"/>
        <w:adjustRightInd w:val="0"/>
        <w:snapToGrid w:val="0"/>
        <w:spacing w:line="600" w:lineRule="exact"/>
        <w:ind w:firstLine="643" w:firstLineChars="200"/>
        <w:rPr>
          <w:rFonts w:ascii="仿宋_GB2312" w:eastAsia="仿宋_GB2312" w:hAnsiTheme="minorEastAsia"/>
          <w:sz w:val="32"/>
          <w:szCs w:val="32"/>
        </w:rPr>
      </w:pPr>
      <w:r>
        <w:rPr>
          <w:rFonts w:hint="eastAsia" w:ascii="仿宋_GB2312" w:eastAsia="仿宋_GB2312" w:hAnsiTheme="minorEastAsia"/>
          <w:b/>
          <w:sz w:val="32"/>
          <w:szCs w:val="32"/>
        </w:rPr>
        <w:t>（</w:t>
      </w:r>
      <w:r>
        <w:rPr>
          <w:rFonts w:ascii="仿宋_GB2312" w:eastAsia="仿宋_GB2312" w:hAnsiTheme="minorEastAsia"/>
          <w:b/>
          <w:sz w:val="32"/>
          <w:szCs w:val="32"/>
        </w:rPr>
        <w:t>4</w:t>
      </w:r>
      <w:r>
        <w:rPr>
          <w:rFonts w:hint="eastAsia" w:ascii="仿宋_GB2312" w:eastAsia="仿宋_GB2312" w:hAnsiTheme="minorEastAsia"/>
          <w:b/>
          <w:sz w:val="32"/>
          <w:szCs w:val="32"/>
        </w:rPr>
        <w:t>）大力</w:t>
      </w:r>
      <w:r>
        <w:rPr>
          <w:rFonts w:ascii="仿宋_GB2312" w:eastAsia="仿宋_GB2312" w:hAnsiTheme="minorEastAsia"/>
          <w:b/>
          <w:sz w:val="32"/>
          <w:szCs w:val="32"/>
        </w:rPr>
        <w:t>推进车型标准化</w:t>
      </w:r>
      <w:r>
        <w:rPr>
          <w:rFonts w:hint="eastAsia" w:ascii="仿宋_GB2312" w:eastAsia="仿宋_GB2312" w:hAnsiTheme="minorEastAsia"/>
          <w:b/>
          <w:sz w:val="32"/>
          <w:szCs w:val="32"/>
        </w:rPr>
        <w:t>。</w:t>
      </w:r>
      <w:r>
        <w:rPr>
          <w:rFonts w:hint="eastAsia" w:ascii="仿宋_GB2312" w:eastAsia="仿宋_GB2312" w:hAnsiTheme="minorEastAsia"/>
          <w:sz w:val="32"/>
          <w:szCs w:val="32"/>
        </w:rPr>
        <w:t>加强不合规平板半挂车型专项治理工作，分阶段推进车型替代和分批退出。推广使用中置轴汽车列车等先进车型，以及标准化、厢式化、轻量化、清洁能源货运车辆和标准化、新能源城市配送车辆。推进运力结构优化，巩固车辆运输车治理工作成果，稳步推进货运车型标准化。</w:t>
      </w:r>
    </w:p>
    <w:p>
      <w:pPr>
        <w:pStyle w:val="33"/>
        <w:overflowPunct w:val="0"/>
        <w:spacing w:line="720" w:lineRule="atLeast"/>
        <w:ind w:firstLine="672"/>
        <w:rPr>
          <w:rFonts w:ascii="仿宋_GB2312" w:eastAsia="仿宋_GB2312" w:hAnsiTheme="minorEastAsia"/>
          <w:sz w:val="32"/>
          <w:szCs w:val="32"/>
        </w:rPr>
      </w:pPr>
      <w:r>
        <w:rPr>
          <w:rFonts w:hint="eastAsia" w:eastAsia="仿宋_GB2312"/>
          <w:b/>
          <w:bCs/>
          <w:sz w:val="32"/>
          <w:szCs w:val="32"/>
        </w:rPr>
        <w:t>预期成效：</w:t>
      </w:r>
      <w:r>
        <w:rPr>
          <w:rFonts w:hint="eastAsia" w:eastAsia="仿宋_GB2312"/>
          <w:bCs/>
          <w:sz w:val="32"/>
          <w:szCs w:val="32"/>
        </w:rPr>
        <w:t>通过物流标准体系的完善以及实施应用，有力地推动重点领域物流的快速发展，物流全流程、各领域逐步实现“有标准可依”，对于加强物流企业规范自律、诚信经营、健康发展等方面发挥重要作用。</w:t>
      </w:r>
    </w:p>
    <w:p>
      <w:pPr>
        <w:pStyle w:val="2"/>
        <w:sectPr>
          <w:pgSz w:w="11906" w:h="16838"/>
          <w:pgMar w:top="1440" w:right="1800" w:bottom="1440" w:left="1800" w:header="851" w:footer="992" w:gutter="0"/>
          <w:cols w:space="425" w:num="1"/>
          <w:docGrid w:type="lines" w:linePitch="312" w:charSpace="0"/>
        </w:sectPr>
      </w:pPr>
      <w:bookmarkStart w:id="103" w:name="_Toc4600199"/>
    </w:p>
    <w:p>
      <w:pPr>
        <w:pStyle w:val="2"/>
        <w:spacing w:line="600" w:lineRule="exact"/>
      </w:pPr>
      <w:bookmarkStart w:id="104" w:name="_Toc7300039"/>
      <w:bookmarkStart w:id="105" w:name="_Toc6551645"/>
      <w:bookmarkStart w:id="106" w:name="_Toc7300081"/>
      <w:r>
        <w:rPr>
          <w:rFonts w:hint="eastAsia" w:ascii="黑体" w:hAnsi="黑体" w:eastAsia="黑体"/>
          <w:sz w:val="32"/>
        </w:rPr>
        <w:t>5.需要国家有关部门</w:t>
      </w:r>
      <w:r>
        <w:rPr>
          <w:rFonts w:ascii="黑体" w:hAnsi="黑体" w:eastAsia="黑体"/>
          <w:sz w:val="32"/>
        </w:rPr>
        <w:t>支持的</w:t>
      </w:r>
      <w:r>
        <w:rPr>
          <w:rFonts w:hint="eastAsia" w:ascii="黑体" w:hAnsi="黑体" w:eastAsia="黑体"/>
          <w:sz w:val="32"/>
        </w:rPr>
        <w:t>政策诉求</w:t>
      </w:r>
      <w:bookmarkEnd w:id="103"/>
      <w:bookmarkEnd w:id="104"/>
      <w:bookmarkEnd w:id="105"/>
      <w:bookmarkEnd w:id="106"/>
    </w:p>
    <w:p>
      <w:pPr>
        <w:pStyle w:val="3"/>
        <w:rPr>
          <w:rFonts w:ascii="楷体" w:hAnsi="楷体" w:eastAsia="楷体"/>
        </w:rPr>
      </w:pPr>
      <w:bookmarkStart w:id="107" w:name="_Toc6551646"/>
      <w:bookmarkStart w:id="108" w:name="_Toc466881836"/>
      <w:bookmarkStart w:id="109" w:name="_Toc7300082"/>
      <w:bookmarkStart w:id="110" w:name="_Toc7300040"/>
      <w:r>
        <w:rPr>
          <w:rFonts w:hint="eastAsia" w:ascii="楷体" w:hAnsi="楷体" w:eastAsia="楷体"/>
        </w:rPr>
        <w:t>5</w:t>
      </w:r>
      <w:r>
        <w:rPr>
          <w:rFonts w:ascii="楷体" w:hAnsi="楷体" w:eastAsia="楷体"/>
        </w:rPr>
        <w:t>.1</w:t>
      </w:r>
      <w:bookmarkEnd w:id="107"/>
      <w:bookmarkEnd w:id="108"/>
      <w:r>
        <w:rPr>
          <w:rFonts w:hint="eastAsia" w:ascii="楷体" w:hAnsi="楷体" w:eastAsia="楷体"/>
        </w:rPr>
        <w:t>完善物流资金</w:t>
      </w:r>
      <w:r>
        <w:rPr>
          <w:rFonts w:ascii="楷体" w:hAnsi="楷体" w:eastAsia="楷体"/>
        </w:rPr>
        <w:t>支持政策</w:t>
      </w:r>
      <w:bookmarkEnd w:id="109"/>
      <w:bookmarkEnd w:id="110"/>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现代物流是基础性、先导性产业，既要充分发挥市场配置资源的决定性作用，更需要发挥政府引导作用，政策和资金引导是重要的调控手段。</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一是设立现代物流发展基金。建议国家发展改革委、</w:t>
      </w:r>
      <w:r>
        <w:rPr>
          <w:rFonts w:ascii="仿宋_GB2312" w:eastAsia="仿宋_GB2312" w:hAnsiTheme="minorEastAsia"/>
          <w:sz w:val="32"/>
          <w:szCs w:val="32"/>
        </w:rPr>
        <w:t>财政部牵头</w:t>
      </w:r>
      <w:r>
        <w:rPr>
          <w:rFonts w:hint="eastAsia" w:ascii="仿宋_GB2312" w:eastAsia="仿宋_GB2312" w:hAnsiTheme="minorEastAsia"/>
          <w:sz w:val="32"/>
          <w:szCs w:val="32"/>
        </w:rPr>
        <w:t>设立现代物流发展基金，针对物流企业</w:t>
      </w:r>
      <w:r>
        <w:rPr>
          <w:rFonts w:ascii="仿宋_GB2312" w:eastAsia="仿宋_GB2312" w:hAnsiTheme="minorEastAsia"/>
          <w:sz w:val="32"/>
          <w:szCs w:val="32"/>
        </w:rPr>
        <w:t>融资难的问题，发挥政策性银行</w:t>
      </w:r>
      <w:r>
        <w:rPr>
          <w:rFonts w:hint="eastAsia" w:ascii="仿宋_GB2312" w:eastAsia="仿宋_GB2312" w:hAnsiTheme="minorEastAsia"/>
          <w:sz w:val="32"/>
          <w:szCs w:val="32"/>
        </w:rPr>
        <w:t>对现代物流体系建设的支持作用，</w:t>
      </w:r>
      <w:r>
        <w:rPr>
          <w:rFonts w:ascii="仿宋_GB2312" w:eastAsia="仿宋_GB2312" w:hAnsiTheme="minorEastAsia"/>
          <w:sz w:val="32"/>
          <w:szCs w:val="32"/>
        </w:rPr>
        <w:t>充分</w:t>
      </w:r>
      <w:r>
        <w:rPr>
          <w:rFonts w:hint="eastAsia" w:ascii="仿宋_GB2312" w:eastAsia="仿宋_GB2312" w:hAnsiTheme="minorEastAsia"/>
          <w:sz w:val="32"/>
          <w:szCs w:val="32"/>
        </w:rPr>
        <w:t>发挥政府资金引导作用，吸引</w:t>
      </w:r>
      <w:r>
        <w:rPr>
          <w:rFonts w:ascii="仿宋_GB2312" w:eastAsia="仿宋_GB2312" w:hAnsiTheme="minorEastAsia"/>
          <w:sz w:val="32"/>
          <w:szCs w:val="32"/>
        </w:rPr>
        <w:t>拉动</w:t>
      </w:r>
      <w:r>
        <w:rPr>
          <w:rFonts w:hint="eastAsia" w:ascii="仿宋_GB2312" w:eastAsia="仿宋_GB2312" w:hAnsiTheme="minorEastAsia"/>
          <w:sz w:val="32"/>
          <w:szCs w:val="32"/>
        </w:rPr>
        <w:t>社会</w:t>
      </w:r>
      <w:r>
        <w:rPr>
          <w:rFonts w:ascii="仿宋_GB2312" w:eastAsia="仿宋_GB2312" w:hAnsiTheme="minorEastAsia"/>
          <w:sz w:val="32"/>
          <w:szCs w:val="32"/>
        </w:rPr>
        <w:t>资本</w:t>
      </w:r>
      <w:r>
        <w:rPr>
          <w:rFonts w:hint="eastAsia" w:ascii="仿宋_GB2312" w:eastAsia="仿宋_GB2312" w:hAnsiTheme="minorEastAsia"/>
          <w:sz w:val="32"/>
          <w:szCs w:val="32"/>
        </w:rPr>
        <w:t>进入物流领域。</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二是加大中央预算内投资和国家专项资金支持力度。建议国家发展改革委、交通运输部、商务部等部委加大对交通物流基础设施、“互联网+高效物流”、物流标准化、新模式和新业态等的支持力度。</w:t>
      </w:r>
    </w:p>
    <w:p>
      <w:pPr>
        <w:pStyle w:val="3"/>
        <w:rPr>
          <w:rFonts w:ascii="楷体" w:hAnsi="楷体" w:eastAsia="楷体"/>
        </w:rPr>
      </w:pPr>
      <w:bookmarkStart w:id="111" w:name="_Toc466881837"/>
      <w:bookmarkStart w:id="112" w:name="_Toc7300041"/>
      <w:bookmarkStart w:id="113" w:name="_Toc6551647"/>
      <w:bookmarkStart w:id="114" w:name="_Toc7300083"/>
      <w:r>
        <w:rPr>
          <w:rFonts w:hint="eastAsia" w:ascii="楷体" w:hAnsi="楷体" w:eastAsia="楷体"/>
        </w:rPr>
        <w:t>5</w:t>
      </w:r>
      <w:r>
        <w:rPr>
          <w:rFonts w:ascii="楷体" w:hAnsi="楷体" w:eastAsia="楷体"/>
        </w:rPr>
        <w:t>.2</w:t>
      </w:r>
      <w:r>
        <w:rPr>
          <w:rFonts w:hint="eastAsia" w:ascii="楷体" w:hAnsi="楷体" w:eastAsia="楷体"/>
        </w:rPr>
        <w:t>构建物流</w:t>
      </w:r>
      <w:r>
        <w:rPr>
          <w:rFonts w:ascii="楷体" w:hAnsi="楷体" w:eastAsia="楷体"/>
        </w:rPr>
        <w:t>成本监测</w:t>
      </w:r>
      <w:bookmarkEnd w:id="111"/>
      <w:r>
        <w:rPr>
          <w:rFonts w:hint="eastAsia" w:ascii="楷体" w:hAnsi="楷体" w:eastAsia="楷体"/>
        </w:rPr>
        <w:t>体系</w:t>
      </w:r>
      <w:bookmarkEnd w:id="112"/>
      <w:bookmarkEnd w:id="113"/>
      <w:bookmarkEnd w:id="114"/>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一是进一步调整充实物流统计指标体系，健全物流业</w:t>
      </w:r>
      <w:r>
        <w:rPr>
          <w:rFonts w:ascii="仿宋_GB2312" w:eastAsia="仿宋_GB2312" w:hAnsiTheme="minorEastAsia"/>
          <w:sz w:val="32"/>
          <w:szCs w:val="32"/>
        </w:rPr>
        <w:t>降本增效</w:t>
      </w:r>
      <w:r>
        <w:rPr>
          <w:rFonts w:hint="eastAsia" w:ascii="仿宋_GB2312" w:eastAsia="仿宋_GB2312" w:hAnsiTheme="minorEastAsia"/>
          <w:sz w:val="32"/>
          <w:szCs w:val="32"/>
        </w:rPr>
        <w:t>信息采集制度。</w:t>
      </w:r>
      <w:r>
        <w:rPr>
          <w:rFonts w:ascii="仿宋_GB2312" w:eastAsia="仿宋_GB2312" w:hAnsiTheme="minorEastAsia"/>
          <w:sz w:val="32"/>
          <w:szCs w:val="32"/>
        </w:rPr>
        <w:t>建议</w:t>
      </w:r>
      <w:r>
        <w:rPr>
          <w:rFonts w:hint="eastAsia" w:ascii="仿宋_GB2312" w:eastAsia="仿宋_GB2312" w:hAnsiTheme="minorEastAsia"/>
          <w:sz w:val="32"/>
          <w:szCs w:val="32"/>
        </w:rPr>
        <w:t>国家发展改革委、</w:t>
      </w:r>
      <w:r>
        <w:rPr>
          <w:rFonts w:ascii="仿宋_GB2312" w:eastAsia="仿宋_GB2312" w:hAnsiTheme="minorEastAsia"/>
          <w:sz w:val="32"/>
          <w:szCs w:val="32"/>
        </w:rPr>
        <w:t>交通运输部联合国家统计局</w:t>
      </w:r>
      <w:r>
        <w:rPr>
          <w:rFonts w:hint="eastAsia" w:ascii="仿宋_GB2312" w:eastAsia="仿宋_GB2312" w:hAnsiTheme="minorEastAsia"/>
          <w:sz w:val="32"/>
          <w:szCs w:val="32"/>
        </w:rPr>
        <w:t>，运用现代化信息技术和大数据系统，增加物流成本价格、物流效率等方面指标，</w:t>
      </w:r>
      <w:r>
        <w:rPr>
          <w:rFonts w:ascii="仿宋_GB2312" w:eastAsia="仿宋_GB2312" w:hAnsiTheme="minorEastAsia"/>
          <w:sz w:val="32"/>
          <w:szCs w:val="32"/>
        </w:rPr>
        <w:t>建立</w:t>
      </w:r>
      <w:r>
        <w:rPr>
          <w:rFonts w:hint="eastAsia" w:ascii="仿宋_GB2312" w:eastAsia="仿宋_GB2312" w:hAnsiTheme="minorEastAsia"/>
          <w:sz w:val="32"/>
          <w:szCs w:val="32"/>
        </w:rPr>
        <w:t>健全物流业</w:t>
      </w:r>
      <w:r>
        <w:rPr>
          <w:rFonts w:ascii="仿宋_GB2312" w:eastAsia="仿宋_GB2312" w:hAnsiTheme="minorEastAsia"/>
          <w:sz w:val="32"/>
          <w:szCs w:val="32"/>
        </w:rPr>
        <w:t>降本增效</w:t>
      </w:r>
      <w:r>
        <w:rPr>
          <w:rFonts w:hint="eastAsia" w:ascii="仿宋_GB2312" w:eastAsia="仿宋_GB2312" w:hAnsiTheme="minorEastAsia"/>
          <w:sz w:val="32"/>
          <w:szCs w:val="32"/>
        </w:rPr>
        <w:t>信息采集制度，提高统计方法的科学性、统计指标精准度和统计数据时效性，为</w:t>
      </w:r>
      <w:r>
        <w:rPr>
          <w:rFonts w:ascii="仿宋_GB2312" w:eastAsia="仿宋_GB2312" w:hAnsiTheme="minorEastAsia"/>
          <w:sz w:val="32"/>
          <w:szCs w:val="32"/>
        </w:rPr>
        <w:t>物流业降本增效监测体系</w:t>
      </w:r>
      <w:r>
        <w:rPr>
          <w:rFonts w:hint="eastAsia" w:ascii="仿宋_GB2312" w:eastAsia="仿宋_GB2312" w:hAnsiTheme="minorEastAsia"/>
          <w:sz w:val="32"/>
          <w:szCs w:val="32"/>
        </w:rPr>
        <w:t>夯实</w:t>
      </w:r>
      <w:r>
        <w:rPr>
          <w:rFonts w:ascii="仿宋_GB2312" w:eastAsia="仿宋_GB2312" w:hAnsiTheme="minorEastAsia"/>
          <w:sz w:val="32"/>
          <w:szCs w:val="32"/>
        </w:rPr>
        <w:t>数据基础。</w:t>
      </w:r>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二是建立物流成本动态</w:t>
      </w:r>
      <w:r>
        <w:rPr>
          <w:rFonts w:ascii="仿宋_GB2312" w:eastAsia="仿宋_GB2312" w:hAnsiTheme="minorEastAsia"/>
          <w:sz w:val="32"/>
          <w:szCs w:val="32"/>
        </w:rPr>
        <w:t>监测</w:t>
      </w:r>
      <w:r>
        <w:rPr>
          <w:rFonts w:hint="eastAsia" w:ascii="仿宋_GB2312" w:eastAsia="仿宋_GB2312" w:hAnsiTheme="minorEastAsia"/>
          <w:sz w:val="32"/>
          <w:szCs w:val="32"/>
        </w:rPr>
        <w:t>平台，提高政策精准度。建议在全国现代物流工作部际联席会议的</w:t>
      </w:r>
      <w:r>
        <w:rPr>
          <w:rFonts w:ascii="仿宋_GB2312" w:eastAsia="仿宋_GB2312" w:hAnsiTheme="minorEastAsia"/>
          <w:sz w:val="32"/>
          <w:szCs w:val="32"/>
        </w:rPr>
        <w:t>框架下，</w:t>
      </w:r>
      <w:r>
        <w:rPr>
          <w:rFonts w:hint="eastAsia" w:ascii="仿宋_GB2312" w:eastAsia="仿宋_GB2312" w:hAnsiTheme="minorEastAsia"/>
          <w:sz w:val="32"/>
          <w:szCs w:val="32"/>
        </w:rPr>
        <w:t>依托国家交通运输物流公共信息平台等既有平台资源，由</w:t>
      </w:r>
      <w:r>
        <w:rPr>
          <w:rFonts w:ascii="仿宋_GB2312" w:eastAsia="仿宋_GB2312" w:hAnsiTheme="minorEastAsia"/>
          <w:sz w:val="32"/>
          <w:szCs w:val="32"/>
        </w:rPr>
        <w:t>交通运输部</w:t>
      </w:r>
      <w:r>
        <w:rPr>
          <w:rFonts w:hint="eastAsia" w:ascii="仿宋_GB2312" w:eastAsia="仿宋_GB2312" w:hAnsiTheme="minorEastAsia"/>
          <w:sz w:val="32"/>
          <w:szCs w:val="32"/>
        </w:rPr>
        <w:t>、</w:t>
      </w:r>
      <w:r>
        <w:rPr>
          <w:rFonts w:ascii="仿宋_GB2312" w:eastAsia="仿宋_GB2312" w:hAnsiTheme="minorEastAsia"/>
          <w:sz w:val="32"/>
          <w:szCs w:val="32"/>
        </w:rPr>
        <w:t>国家发展改革委牵头建立物流业降本增效的</w:t>
      </w:r>
      <w:r>
        <w:rPr>
          <w:rFonts w:hint="eastAsia" w:ascii="仿宋_GB2312" w:eastAsia="仿宋_GB2312" w:hAnsiTheme="minorEastAsia"/>
          <w:sz w:val="32"/>
          <w:szCs w:val="32"/>
        </w:rPr>
        <w:t>动态</w:t>
      </w:r>
      <w:r>
        <w:rPr>
          <w:rFonts w:ascii="仿宋_GB2312" w:eastAsia="仿宋_GB2312" w:hAnsiTheme="minorEastAsia"/>
          <w:sz w:val="32"/>
          <w:szCs w:val="32"/>
        </w:rPr>
        <w:t>监测</w:t>
      </w:r>
      <w:r>
        <w:rPr>
          <w:rFonts w:hint="eastAsia" w:ascii="仿宋_GB2312" w:eastAsia="仿宋_GB2312" w:hAnsiTheme="minorEastAsia"/>
          <w:sz w:val="32"/>
          <w:szCs w:val="32"/>
        </w:rPr>
        <w:t>平台。政府部门要以宏观指标为风向标，加强对物流成本的运行监测、安全监管，综合施策、精准发力，增强物流业降本增效政策措施的针对性、操作性和实效性。</w:t>
      </w:r>
    </w:p>
    <w:p>
      <w:pPr>
        <w:pStyle w:val="3"/>
        <w:rPr>
          <w:rFonts w:ascii="楷体" w:hAnsi="楷体" w:eastAsia="楷体"/>
        </w:rPr>
      </w:pPr>
      <w:bookmarkStart w:id="115" w:name="_Toc7300042"/>
      <w:bookmarkStart w:id="116" w:name="_Toc7300084"/>
      <w:r>
        <w:rPr>
          <w:rFonts w:hint="eastAsia" w:ascii="楷体" w:hAnsi="楷体" w:eastAsia="楷体"/>
        </w:rPr>
        <w:t>5</w:t>
      </w:r>
      <w:r>
        <w:rPr>
          <w:rFonts w:ascii="楷体" w:hAnsi="楷体" w:eastAsia="楷体"/>
        </w:rPr>
        <w:t>.3</w:t>
      </w:r>
      <w:r>
        <w:rPr>
          <w:rFonts w:hint="eastAsia" w:ascii="楷体" w:hAnsi="楷体" w:eastAsia="楷体"/>
        </w:rPr>
        <w:t>完善</w:t>
      </w:r>
      <w:r>
        <w:rPr>
          <w:rFonts w:ascii="楷体" w:hAnsi="楷体" w:eastAsia="楷体"/>
        </w:rPr>
        <w:t>物流</w:t>
      </w:r>
      <w:r>
        <w:rPr>
          <w:rFonts w:hint="eastAsia" w:ascii="楷体" w:hAnsi="楷体" w:eastAsia="楷体"/>
        </w:rPr>
        <w:t>发展</w:t>
      </w:r>
      <w:r>
        <w:rPr>
          <w:rFonts w:ascii="楷体" w:hAnsi="楷体" w:eastAsia="楷体"/>
        </w:rPr>
        <w:t>用地政策</w:t>
      </w:r>
      <w:bookmarkEnd w:id="115"/>
      <w:bookmarkEnd w:id="116"/>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建议</w:t>
      </w:r>
      <w:r>
        <w:rPr>
          <w:rFonts w:ascii="仿宋_GB2312" w:eastAsia="仿宋_GB2312" w:hAnsiTheme="minorEastAsia"/>
          <w:sz w:val="32"/>
          <w:szCs w:val="32"/>
        </w:rPr>
        <w:t>自然资源部</w:t>
      </w:r>
      <w:r>
        <w:rPr>
          <w:rFonts w:hint="eastAsia" w:ascii="仿宋_GB2312" w:eastAsia="仿宋_GB2312" w:hAnsiTheme="minorEastAsia"/>
          <w:sz w:val="32"/>
          <w:szCs w:val="32"/>
        </w:rPr>
        <w:t>、住房</w:t>
      </w:r>
      <w:r>
        <w:rPr>
          <w:rFonts w:ascii="仿宋_GB2312" w:eastAsia="仿宋_GB2312" w:hAnsiTheme="minorEastAsia"/>
          <w:sz w:val="32"/>
          <w:szCs w:val="32"/>
        </w:rPr>
        <w:t>与建设部</w:t>
      </w:r>
      <w:r>
        <w:rPr>
          <w:rFonts w:hint="eastAsia" w:ascii="仿宋_GB2312" w:eastAsia="仿宋_GB2312" w:hAnsiTheme="minorEastAsia"/>
          <w:sz w:val="32"/>
          <w:szCs w:val="32"/>
        </w:rPr>
        <w:t>等</w:t>
      </w:r>
      <w:r>
        <w:rPr>
          <w:rFonts w:ascii="仿宋_GB2312" w:eastAsia="仿宋_GB2312" w:hAnsiTheme="minorEastAsia"/>
          <w:sz w:val="32"/>
          <w:szCs w:val="32"/>
        </w:rPr>
        <w:t>相关部门</w:t>
      </w:r>
      <w:r>
        <w:rPr>
          <w:rFonts w:hint="eastAsia" w:ascii="仿宋_GB2312" w:eastAsia="仿宋_GB2312" w:hAnsiTheme="minorEastAsia"/>
          <w:sz w:val="32"/>
          <w:szCs w:val="32"/>
        </w:rPr>
        <w:t>制修订</w:t>
      </w:r>
      <w:r>
        <w:rPr>
          <w:rFonts w:ascii="仿宋_GB2312" w:eastAsia="仿宋_GB2312" w:hAnsiTheme="minorEastAsia"/>
          <w:sz w:val="32"/>
          <w:szCs w:val="32"/>
        </w:rPr>
        <w:t>国土空间规划、城市总体规划</w:t>
      </w:r>
      <w:r>
        <w:rPr>
          <w:rFonts w:hint="eastAsia" w:ascii="仿宋_GB2312" w:eastAsia="仿宋_GB2312" w:hAnsiTheme="minorEastAsia"/>
          <w:sz w:val="32"/>
          <w:szCs w:val="32"/>
        </w:rPr>
        <w:t>编制</w:t>
      </w:r>
      <w:r>
        <w:rPr>
          <w:rFonts w:ascii="仿宋_GB2312" w:eastAsia="仿宋_GB2312" w:hAnsiTheme="minorEastAsia"/>
          <w:sz w:val="32"/>
          <w:szCs w:val="32"/>
        </w:rPr>
        <w:t>要求，各地在规划中要</w:t>
      </w:r>
      <w:r>
        <w:rPr>
          <w:rFonts w:hint="eastAsia" w:ascii="仿宋_GB2312" w:eastAsia="仿宋_GB2312" w:hAnsiTheme="minorEastAsia"/>
          <w:sz w:val="32"/>
          <w:szCs w:val="32"/>
        </w:rPr>
        <w:t>充分考虑并统筹保障物流业发展的合理用地需求。</w:t>
      </w:r>
      <w:r>
        <w:rPr>
          <w:rFonts w:ascii="仿宋_GB2312" w:eastAsia="仿宋_GB2312" w:hAnsiTheme="minorEastAsia"/>
          <w:sz w:val="32"/>
          <w:szCs w:val="32"/>
        </w:rPr>
        <w:t>明确物流</w:t>
      </w:r>
      <w:r>
        <w:rPr>
          <w:rFonts w:hint="eastAsia" w:ascii="仿宋_GB2312" w:eastAsia="仿宋_GB2312" w:hAnsiTheme="minorEastAsia"/>
          <w:sz w:val="32"/>
          <w:szCs w:val="32"/>
        </w:rPr>
        <w:t>相关设施</w:t>
      </w:r>
      <w:r>
        <w:rPr>
          <w:rFonts w:ascii="仿宋_GB2312" w:eastAsia="仿宋_GB2312" w:hAnsiTheme="minorEastAsia"/>
          <w:sz w:val="32"/>
          <w:szCs w:val="32"/>
        </w:rPr>
        <w:t>用地性质</w:t>
      </w:r>
      <w:r>
        <w:rPr>
          <w:rFonts w:hint="eastAsia" w:ascii="仿宋_GB2312" w:eastAsia="仿宋_GB2312" w:hAnsiTheme="minorEastAsia"/>
          <w:sz w:val="32"/>
          <w:szCs w:val="32"/>
        </w:rPr>
        <w:t>及</w:t>
      </w:r>
      <w:r>
        <w:rPr>
          <w:rFonts w:ascii="仿宋_GB2312" w:eastAsia="仿宋_GB2312" w:hAnsiTheme="minorEastAsia"/>
          <w:sz w:val="32"/>
          <w:szCs w:val="32"/>
        </w:rPr>
        <w:t>用地标准</w:t>
      </w:r>
      <w:r>
        <w:rPr>
          <w:rFonts w:hint="eastAsia" w:ascii="仿宋_GB2312" w:eastAsia="仿宋_GB2312" w:hAnsiTheme="minorEastAsia"/>
          <w:sz w:val="32"/>
          <w:szCs w:val="32"/>
        </w:rPr>
        <w:t>，优化物流业用地空间布局，合理确定用地规模和强度，研究提高土地利用效率，降低土地使用成本。相关开发建设须符合法定规划要求，不得随意更改。</w:t>
      </w:r>
    </w:p>
    <w:p>
      <w:pPr>
        <w:pStyle w:val="3"/>
        <w:rPr>
          <w:rFonts w:ascii="楷体" w:hAnsi="楷体" w:eastAsia="楷体"/>
        </w:rPr>
      </w:pPr>
      <w:bookmarkStart w:id="117" w:name="_Toc7300085"/>
      <w:bookmarkStart w:id="118" w:name="_Toc7300043"/>
      <w:bookmarkStart w:id="119" w:name="_Toc6551648"/>
      <w:r>
        <w:rPr>
          <w:rFonts w:hint="eastAsia" w:ascii="楷体" w:hAnsi="楷体" w:eastAsia="楷体"/>
        </w:rPr>
        <w:t>5</w:t>
      </w:r>
      <w:r>
        <w:rPr>
          <w:rFonts w:ascii="楷体" w:hAnsi="楷体" w:eastAsia="楷体"/>
        </w:rPr>
        <w:t>.4建立</w:t>
      </w:r>
      <w:r>
        <w:rPr>
          <w:rFonts w:hint="eastAsia" w:ascii="楷体" w:hAnsi="楷体" w:eastAsia="楷体"/>
        </w:rPr>
        <w:t>物流市场诚信体系</w:t>
      </w:r>
      <w:bookmarkEnd w:id="117"/>
      <w:bookmarkEnd w:id="118"/>
      <w:bookmarkEnd w:id="119"/>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建议国家发展改革委牵头，指导物流相关行业协会，建立物流企业诚信管理机制和物流市场诚信大数据体系，对市场主体实施守信联合激励和失信联合惩戒，规范物流市场秩序，促进诚信经营、公平竞争，切实改善货运市场无序竞争状态，为企业转型升级提供良好的外部坏境。</w:t>
      </w:r>
    </w:p>
    <w:p>
      <w:pPr>
        <w:pStyle w:val="3"/>
        <w:rPr>
          <w:rFonts w:ascii="楷体" w:hAnsi="楷体" w:eastAsia="楷体"/>
        </w:rPr>
      </w:pPr>
      <w:bookmarkStart w:id="120" w:name="_Toc7300086"/>
      <w:bookmarkStart w:id="121" w:name="_Toc7300044"/>
      <w:bookmarkStart w:id="122" w:name="_Toc6551649"/>
      <w:bookmarkStart w:id="123" w:name="_Toc466881834"/>
      <w:r>
        <w:rPr>
          <w:rFonts w:hint="eastAsia" w:ascii="楷体" w:hAnsi="楷体" w:eastAsia="楷体"/>
        </w:rPr>
        <w:t>5</w:t>
      </w:r>
      <w:r>
        <w:rPr>
          <w:rFonts w:ascii="楷体" w:hAnsi="楷体" w:eastAsia="楷体"/>
        </w:rPr>
        <w:t>.5深化铁路</w:t>
      </w:r>
      <w:r>
        <w:rPr>
          <w:rFonts w:hint="eastAsia" w:ascii="楷体" w:hAnsi="楷体" w:eastAsia="楷体"/>
        </w:rPr>
        <w:t>货运体制</w:t>
      </w:r>
      <w:r>
        <w:rPr>
          <w:rFonts w:ascii="楷体" w:hAnsi="楷体" w:eastAsia="楷体"/>
        </w:rPr>
        <w:t>改革</w:t>
      </w:r>
      <w:bookmarkEnd w:id="120"/>
      <w:bookmarkEnd w:id="121"/>
      <w:bookmarkEnd w:id="122"/>
      <w:bookmarkEnd w:id="123"/>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建议深化铁路货运改革，适度引入竞争，研究放宽民间资本进入货运铁路建设的准入限制，丰富铁路运输公共产品；推动铁路信息系统接口开放，实现多种运输方式信息资源互联共享；加大对铁路货运的投资，加快提升铁路站场设施现代化水平，推动铁路站场物流化改造。探索打破“按重量一口价”方式，采用按重量、按车、按体积等多方式灵活计价，提高对市场需求的适应性。</w:t>
      </w:r>
    </w:p>
    <w:p>
      <w:pPr>
        <w:pStyle w:val="3"/>
        <w:rPr>
          <w:rFonts w:ascii="楷体" w:hAnsi="楷体" w:eastAsia="楷体"/>
        </w:rPr>
      </w:pPr>
      <w:bookmarkStart w:id="124" w:name="_Toc7300087"/>
      <w:bookmarkStart w:id="125" w:name="_Toc7300045"/>
      <w:r>
        <w:rPr>
          <w:rFonts w:hint="eastAsia" w:ascii="楷体" w:hAnsi="楷体" w:eastAsia="楷体"/>
        </w:rPr>
        <w:t>5.</w:t>
      </w:r>
      <w:r>
        <w:rPr>
          <w:rFonts w:ascii="楷体" w:hAnsi="楷体" w:eastAsia="楷体"/>
        </w:rPr>
        <w:t>6</w:t>
      </w:r>
      <w:r>
        <w:rPr>
          <w:rFonts w:hint="eastAsia" w:ascii="楷体" w:hAnsi="楷体" w:eastAsia="楷体"/>
        </w:rPr>
        <w:t>充分发挥</w:t>
      </w:r>
      <w:r>
        <w:rPr>
          <w:rFonts w:ascii="楷体" w:hAnsi="楷体" w:eastAsia="楷体"/>
        </w:rPr>
        <w:t>行业协会作用</w:t>
      </w:r>
      <w:bookmarkEnd w:id="124"/>
      <w:bookmarkEnd w:id="125"/>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充分发挥行业</w:t>
      </w:r>
      <w:r>
        <w:rPr>
          <w:rFonts w:ascii="仿宋_GB2312" w:eastAsia="仿宋_GB2312" w:hAnsiTheme="minorEastAsia"/>
          <w:sz w:val="32"/>
          <w:szCs w:val="32"/>
        </w:rPr>
        <w:t>协会</w:t>
      </w:r>
      <w:r>
        <w:rPr>
          <w:rFonts w:hint="eastAsia" w:ascii="仿宋_GB2312" w:eastAsia="仿宋_GB2312" w:hAnsiTheme="minorEastAsia"/>
          <w:sz w:val="32"/>
          <w:szCs w:val="32"/>
        </w:rPr>
        <w:t>作为政府与企业之间的桥梁作用，协助</w:t>
      </w:r>
      <w:r>
        <w:rPr>
          <w:rFonts w:ascii="仿宋_GB2312" w:eastAsia="仿宋_GB2312" w:hAnsiTheme="minorEastAsia"/>
          <w:sz w:val="32"/>
          <w:szCs w:val="32"/>
        </w:rPr>
        <w:t>政府开展</w:t>
      </w:r>
      <w:r>
        <w:rPr>
          <w:rFonts w:hint="eastAsia" w:ascii="仿宋_GB2312" w:eastAsia="仿宋_GB2312" w:hAnsiTheme="minorEastAsia"/>
          <w:sz w:val="32"/>
          <w:szCs w:val="32"/>
        </w:rPr>
        <w:t>物流运行监测、标准制修订与宣传推广、交流合作、人才培训、诚信体系建设、统计等工作；引导支持企业加快技术创新和服务创新，加强内部管理，提升物流服务水平，共同推动湖南</w:t>
      </w:r>
      <w:r>
        <w:rPr>
          <w:rFonts w:ascii="仿宋_GB2312" w:eastAsia="仿宋_GB2312" w:hAnsiTheme="minorEastAsia"/>
          <w:sz w:val="32"/>
          <w:szCs w:val="32"/>
        </w:rPr>
        <w:t>省</w:t>
      </w:r>
      <w:r>
        <w:rPr>
          <w:rFonts w:hint="eastAsia" w:ascii="仿宋_GB2312" w:eastAsia="仿宋_GB2312" w:hAnsiTheme="minorEastAsia"/>
          <w:sz w:val="32"/>
          <w:szCs w:val="32"/>
        </w:rPr>
        <w:t>物流业“降本增效”。</w:t>
      </w:r>
    </w:p>
    <w:p>
      <w:pPr>
        <w:pStyle w:val="6"/>
        <w:adjustRightInd w:val="0"/>
        <w:snapToGrid w:val="0"/>
        <w:spacing w:line="600" w:lineRule="exact"/>
        <w:ind w:firstLine="640" w:firstLineChars="200"/>
        <w:rPr>
          <w:rFonts w:ascii="仿宋_GB2312" w:eastAsia="仿宋_GB2312" w:hAnsiTheme="minorEastAsia"/>
          <w:sz w:val="32"/>
          <w:szCs w:val="32"/>
        </w:rPr>
      </w:pPr>
    </w:p>
    <w:p>
      <w:pPr>
        <w:pStyle w:val="6"/>
        <w:adjustRightInd w:val="0"/>
        <w:snapToGrid w:val="0"/>
        <w:spacing w:line="360" w:lineRule="auto"/>
        <w:ind w:firstLine="640" w:firstLineChars="200"/>
        <w:rPr>
          <w:rFonts w:ascii="仿宋_GB2312" w:eastAsia="仿宋_GB2312" w:hAnsiTheme="minorEastAsia"/>
          <w:sz w:val="32"/>
          <w:szCs w:val="32"/>
        </w:rPr>
        <w:sectPr>
          <w:pgSz w:w="11906" w:h="16838"/>
          <w:pgMar w:top="1440" w:right="1800" w:bottom="1440" w:left="1800" w:header="851" w:footer="992" w:gutter="0"/>
          <w:cols w:space="425" w:num="1"/>
          <w:docGrid w:type="lines" w:linePitch="312" w:charSpace="0"/>
        </w:sectPr>
      </w:pPr>
      <w:bookmarkStart w:id="126" w:name="_Toc4600200"/>
    </w:p>
    <w:p>
      <w:pPr>
        <w:pStyle w:val="2"/>
        <w:spacing w:line="600" w:lineRule="exact"/>
        <w:rPr>
          <w:rFonts w:ascii="黑体" w:hAnsi="黑体" w:eastAsia="黑体"/>
          <w:sz w:val="32"/>
        </w:rPr>
      </w:pPr>
      <w:bookmarkStart w:id="127" w:name="_Toc7300046"/>
      <w:bookmarkStart w:id="128" w:name="_Toc6551650"/>
      <w:bookmarkStart w:id="129" w:name="_Toc7300088"/>
      <w:r>
        <w:rPr>
          <w:rFonts w:hint="eastAsia" w:ascii="黑体" w:hAnsi="黑体" w:eastAsia="黑体"/>
          <w:sz w:val="32"/>
        </w:rPr>
        <w:t>6.工作机制和保障措施</w:t>
      </w:r>
      <w:bookmarkEnd w:id="126"/>
      <w:bookmarkEnd w:id="127"/>
      <w:bookmarkEnd w:id="128"/>
      <w:bookmarkEnd w:id="129"/>
    </w:p>
    <w:p>
      <w:pPr>
        <w:pStyle w:val="3"/>
        <w:rPr>
          <w:rFonts w:ascii="楷体" w:hAnsi="楷体" w:eastAsia="楷体"/>
        </w:rPr>
      </w:pPr>
      <w:bookmarkStart w:id="130" w:name="_Toc6551651"/>
      <w:bookmarkStart w:id="131" w:name="_Toc7300089"/>
      <w:bookmarkStart w:id="132" w:name="_Toc7300047"/>
      <w:r>
        <w:rPr>
          <w:rFonts w:hint="eastAsia" w:ascii="楷体" w:hAnsi="楷体" w:eastAsia="楷体"/>
        </w:rPr>
        <w:t>6.1</w:t>
      </w:r>
      <w:bookmarkEnd w:id="130"/>
      <w:r>
        <w:rPr>
          <w:rFonts w:hint="eastAsia" w:ascii="楷体" w:hAnsi="楷体" w:eastAsia="楷体"/>
        </w:rPr>
        <w:t>建立试点工作</w:t>
      </w:r>
      <w:r>
        <w:rPr>
          <w:rFonts w:ascii="楷体" w:hAnsi="楷体" w:eastAsia="楷体"/>
        </w:rPr>
        <w:t>协调推进机制</w:t>
      </w:r>
      <w:bookmarkEnd w:id="131"/>
      <w:bookmarkEnd w:id="132"/>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为确保湖南省物流</w:t>
      </w:r>
      <w:r>
        <w:rPr>
          <w:rFonts w:ascii="仿宋_GB2312" w:eastAsia="仿宋_GB2312" w:hAnsiTheme="minorEastAsia"/>
          <w:sz w:val="32"/>
          <w:szCs w:val="32"/>
        </w:rPr>
        <w:t>降本增效综合改革试点工作</w:t>
      </w:r>
      <w:r>
        <w:rPr>
          <w:rFonts w:hint="eastAsia" w:ascii="仿宋_GB2312" w:eastAsia="仿宋_GB2312" w:hAnsiTheme="minorEastAsia"/>
          <w:sz w:val="32"/>
          <w:szCs w:val="32"/>
        </w:rPr>
        <w:t>的顺利推进，湖南省政府拟建立湖南省物流</w:t>
      </w:r>
      <w:r>
        <w:rPr>
          <w:rFonts w:ascii="仿宋_GB2312" w:eastAsia="仿宋_GB2312" w:hAnsiTheme="minorEastAsia"/>
          <w:sz w:val="32"/>
          <w:szCs w:val="32"/>
        </w:rPr>
        <w:t>降本增效试点工作</w:t>
      </w:r>
      <w:r>
        <w:rPr>
          <w:rFonts w:hint="eastAsia" w:ascii="仿宋_GB2312" w:eastAsia="仿宋_GB2312" w:hAnsiTheme="minorEastAsia"/>
          <w:sz w:val="32"/>
          <w:szCs w:val="32"/>
        </w:rPr>
        <w:t>联席会议制度。联席会议成员</w:t>
      </w:r>
      <w:r>
        <w:rPr>
          <w:rFonts w:ascii="仿宋_GB2312" w:eastAsia="仿宋_GB2312" w:hAnsiTheme="minorEastAsia"/>
          <w:sz w:val="32"/>
          <w:szCs w:val="32"/>
        </w:rPr>
        <w:t>单位包括发改、交通、财政、</w:t>
      </w:r>
      <w:r>
        <w:rPr>
          <w:rFonts w:hint="eastAsia" w:ascii="仿宋_GB2312" w:eastAsia="仿宋_GB2312" w:hAnsiTheme="minorEastAsia"/>
          <w:sz w:val="32"/>
          <w:szCs w:val="32"/>
        </w:rPr>
        <w:t>工信</w:t>
      </w:r>
      <w:r>
        <w:rPr>
          <w:rFonts w:ascii="仿宋_GB2312" w:eastAsia="仿宋_GB2312" w:hAnsiTheme="minorEastAsia"/>
          <w:sz w:val="32"/>
          <w:szCs w:val="32"/>
        </w:rPr>
        <w:t>、商务</w:t>
      </w:r>
      <w:r>
        <w:rPr>
          <w:rFonts w:hint="eastAsia" w:ascii="仿宋_GB2312" w:eastAsia="仿宋_GB2312" w:hAnsiTheme="minorEastAsia"/>
          <w:sz w:val="32"/>
          <w:szCs w:val="32"/>
        </w:rPr>
        <w:t>、</w:t>
      </w:r>
      <w:r>
        <w:rPr>
          <w:rFonts w:ascii="仿宋_GB2312" w:eastAsia="仿宋_GB2312" w:hAnsiTheme="minorEastAsia"/>
          <w:sz w:val="32"/>
          <w:szCs w:val="32"/>
        </w:rPr>
        <w:t>公安、自然资源、</w:t>
      </w:r>
      <w:r>
        <w:rPr>
          <w:rFonts w:hint="eastAsia" w:ascii="仿宋_GB2312" w:eastAsia="仿宋_GB2312" w:hAnsiTheme="minorEastAsia"/>
          <w:sz w:val="32"/>
          <w:szCs w:val="32"/>
        </w:rPr>
        <w:t>住建、金融办、税务、邮政</w:t>
      </w:r>
      <w:r>
        <w:rPr>
          <w:rFonts w:ascii="仿宋_GB2312" w:eastAsia="仿宋_GB2312" w:hAnsiTheme="minorEastAsia"/>
          <w:sz w:val="32"/>
          <w:szCs w:val="32"/>
        </w:rPr>
        <w:t>等</w:t>
      </w:r>
      <w:r>
        <w:rPr>
          <w:rFonts w:hint="eastAsia" w:ascii="仿宋_GB2312" w:eastAsia="仿宋_GB2312" w:hAnsiTheme="minorEastAsia"/>
          <w:sz w:val="32"/>
          <w:szCs w:val="32"/>
        </w:rPr>
        <w:t>。联席会议办公室负责试点工作的统筹推进和综合协调，相关部门</w:t>
      </w:r>
      <w:r>
        <w:rPr>
          <w:rFonts w:ascii="仿宋_GB2312" w:eastAsia="仿宋_GB2312" w:hAnsiTheme="minorEastAsia"/>
          <w:sz w:val="32"/>
          <w:szCs w:val="32"/>
        </w:rPr>
        <w:t>各司其职</w:t>
      </w:r>
      <w:r>
        <w:rPr>
          <w:rFonts w:hint="eastAsia" w:ascii="仿宋_GB2312" w:eastAsia="仿宋_GB2312" w:hAnsiTheme="minorEastAsia"/>
          <w:sz w:val="32"/>
          <w:szCs w:val="32"/>
        </w:rPr>
        <w:t>、</w:t>
      </w:r>
      <w:r>
        <w:rPr>
          <w:rFonts w:ascii="仿宋_GB2312" w:eastAsia="仿宋_GB2312" w:hAnsiTheme="minorEastAsia"/>
          <w:sz w:val="32"/>
          <w:szCs w:val="32"/>
        </w:rPr>
        <w:t>密切协作，定期沟通对接工作</w:t>
      </w:r>
      <w:r>
        <w:rPr>
          <w:rFonts w:hint="eastAsia" w:ascii="仿宋_GB2312" w:eastAsia="仿宋_GB2312" w:hAnsiTheme="minorEastAsia"/>
          <w:sz w:val="32"/>
          <w:szCs w:val="32"/>
        </w:rPr>
        <w:t>，</w:t>
      </w:r>
      <w:r>
        <w:rPr>
          <w:rFonts w:ascii="仿宋_GB2312" w:eastAsia="仿宋_GB2312" w:hAnsiTheme="minorEastAsia"/>
          <w:sz w:val="32"/>
          <w:szCs w:val="32"/>
        </w:rPr>
        <w:t>及时共享改革信息，</w:t>
      </w:r>
      <w:r>
        <w:rPr>
          <w:rFonts w:hint="eastAsia" w:ascii="仿宋_GB2312" w:eastAsia="仿宋_GB2312" w:hAnsiTheme="minorEastAsia"/>
          <w:sz w:val="32"/>
          <w:szCs w:val="32"/>
        </w:rPr>
        <w:t>合力推进重点工作，协调解决重大问题，确保</w:t>
      </w:r>
      <w:r>
        <w:rPr>
          <w:rFonts w:ascii="仿宋_GB2312" w:eastAsia="仿宋_GB2312" w:hAnsiTheme="minorEastAsia"/>
          <w:sz w:val="32"/>
          <w:szCs w:val="32"/>
        </w:rPr>
        <w:t>改革试点工作落实落地落细。</w:t>
      </w:r>
    </w:p>
    <w:p>
      <w:pPr>
        <w:pStyle w:val="3"/>
        <w:rPr>
          <w:rFonts w:ascii="楷体" w:hAnsi="楷体" w:eastAsia="楷体"/>
        </w:rPr>
      </w:pPr>
      <w:bookmarkStart w:id="133" w:name="_Toc6551652"/>
      <w:bookmarkStart w:id="134" w:name="_Toc7300090"/>
      <w:bookmarkStart w:id="135" w:name="_Toc7300048"/>
      <w:r>
        <w:rPr>
          <w:rFonts w:hint="eastAsia" w:ascii="楷体" w:hAnsi="楷体" w:eastAsia="楷体"/>
        </w:rPr>
        <w:t>6.2</w:t>
      </w:r>
      <w:bookmarkEnd w:id="133"/>
      <w:bookmarkStart w:id="136" w:name="_Toc6551653"/>
      <w:r>
        <w:rPr>
          <w:rFonts w:hint="eastAsia" w:ascii="楷体" w:hAnsi="楷体" w:eastAsia="楷体"/>
        </w:rPr>
        <w:t>强化宣传</w:t>
      </w:r>
      <w:r>
        <w:rPr>
          <w:rFonts w:ascii="楷体" w:hAnsi="楷体" w:eastAsia="楷体"/>
        </w:rPr>
        <w:t>引导</w:t>
      </w:r>
      <w:bookmarkEnd w:id="136"/>
      <w:r>
        <w:rPr>
          <w:rFonts w:ascii="楷体" w:hAnsi="楷体" w:eastAsia="楷体"/>
        </w:rPr>
        <w:t>和复制推广</w:t>
      </w:r>
      <w:bookmarkEnd w:id="134"/>
      <w:bookmarkEnd w:id="135"/>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要高度重视新闻宣传和舆论引导，加强与新闻管理部门的沟通，积极利用各类媒体，加大对试点工作中形成经验的宣传报道，提高群众的参与意识，为凝聚共识、共同推动各项重点任务和政策措施的有效实施营造良好的舆论氛围。及时总结改革试点取得的良好成效和工作方法，吸收借鉴其他省份成功经验，大力复制推广，发挥示范效应，扩大改革覆盖面。</w:t>
      </w:r>
    </w:p>
    <w:p>
      <w:pPr>
        <w:pStyle w:val="3"/>
        <w:rPr>
          <w:rFonts w:ascii="楷体" w:hAnsi="楷体" w:eastAsia="楷体"/>
        </w:rPr>
      </w:pPr>
      <w:bookmarkStart w:id="137" w:name="_Toc6551654"/>
      <w:bookmarkStart w:id="138" w:name="_Toc7300049"/>
      <w:bookmarkStart w:id="139" w:name="_Toc7300091"/>
      <w:r>
        <w:rPr>
          <w:rFonts w:ascii="楷体" w:hAnsi="楷体" w:eastAsia="楷体"/>
        </w:rPr>
        <w:t>6.</w:t>
      </w:r>
      <w:r>
        <w:rPr>
          <w:rFonts w:hint="eastAsia" w:ascii="楷体" w:hAnsi="楷体" w:eastAsia="楷体"/>
        </w:rPr>
        <w:t>3加强动态监</w:t>
      </w:r>
      <w:bookmarkEnd w:id="137"/>
      <w:r>
        <w:rPr>
          <w:rFonts w:hint="eastAsia" w:ascii="楷体" w:hAnsi="楷体" w:eastAsia="楷体"/>
        </w:rPr>
        <w:t>测和综合评价</w:t>
      </w:r>
      <w:bookmarkEnd w:id="138"/>
      <w:bookmarkEnd w:id="139"/>
    </w:p>
    <w:p>
      <w:pPr>
        <w:pStyle w:val="6"/>
        <w:adjustRightInd w:val="0"/>
        <w:snapToGrid w:val="0"/>
        <w:spacing w:line="60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发改、交通部门要加强与行业协会、市场主体等合作，依托社会物流统计制度，加强物流业</w:t>
      </w:r>
      <w:r>
        <w:rPr>
          <w:rFonts w:ascii="仿宋_GB2312" w:eastAsia="仿宋_GB2312" w:hAnsiTheme="minorEastAsia"/>
          <w:sz w:val="32"/>
          <w:szCs w:val="32"/>
        </w:rPr>
        <w:t>降本增效</w:t>
      </w:r>
      <w:r>
        <w:rPr>
          <w:rFonts w:hint="eastAsia" w:ascii="仿宋_GB2312" w:eastAsia="仿宋_GB2312" w:hAnsiTheme="minorEastAsia"/>
          <w:sz w:val="32"/>
          <w:szCs w:val="32"/>
        </w:rPr>
        <w:t>信息采集制度和动态</w:t>
      </w:r>
      <w:r>
        <w:rPr>
          <w:rFonts w:ascii="仿宋_GB2312" w:eastAsia="仿宋_GB2312" w:hAnsiTheme="minorEastAsia"/>
          <w:sz w:val="32"/>
          <w:szCs w:val="32"/>
        </w:rPr>
        <w:t>监测</w:t>
      </w:r>
      <w:r>
        <w:rPr>
          <w:rFonts w:hint="eastAsia" w:ascii="仿宋_GB2312" w:eastAsia="仿宋_GB2312" w:hAnsiTheme="minorEastAsia"/>
          <w:sz w:val="32"/>
          <w:szCs w:val="32"/>
        </w:rPr>
        <w:t>平台建设，</w:t>
      </w:r>
      <w:r>
        <w:rPr>
          <w:rFonts w:ascii="仿宋_GB2312" w:eastAsia="仿宋_GB2312" w:hAnsiTheme="minorEastAsia"/>
          <w:sz w:val="32"/>
          <w:szCs w:val="32"/>
        </w:rPr>
        <w:t>建立</w:t>
      </w:r>
      <w:r>
        <w:rPr>
          <w:rFonts w:hint="eastAsia" w:ascii="仿宋_GB2312" w:eastAsia="仿宋_GB2312" w:hAnsiTheme="minorEastAsia"/>
          <w:sz w:val="32"/>
          <w:szCs w:val="32"/>
        </w:rPr>
        <w:t>物流</w:t>
      </w:r>
      <w:r>
        <w:rPr>
          <w:rFonts w:ascii="仿宋_GB2312" w:eastAsia="仿宋_GB2312" w:hAnsiTheme="minorEastAsia"/>
          <w:sz w:val="32"/>
          <w:szCs w:val="32"/>
        </w:rPr>
        <w:t>成本监测</w:t>
      </w:r>
      <w:r>
        <w:rPr>
          <w:rFonts w:hint="eastAsia" w:ascii="仿宋_GB2312" w:eastAsia="仿宋_GB2312" w:hAnsiTheme="minorEastAsia"/>
          <w:sz w:val="32"/>
          <w:szCs w:val="32"/>
        </w:rPr>
        <w:t>体系。切实加强监督管理，每年组织对改革试点工作进行综合评价，动态跟踪、定期督查，发现问题、抓紧整改，形成物流</w:t>
      </w:r>
      <w:r>
        <w:rPr>
          <w:rFonts w:ascii="仿宋_GB2312" w:eastAsia="仿宋_GB2312" w:hAnsiTheme="minorEastAsia"/>
          <w:sz w:val="32"/>
          <w:szCs w:val="32"/>
        </w:rPr>
        <w:t>降本增效</w:t>
      </w:r>
      <w:r>
        <w:rPr>
          <w:rFonts w:hint="eastAsia" w:ascii="仿宋_GB2312" w:eastAsia="仿宋_GB2312" w:hAnsiTheme="minorEastAsia"/>
          <w:sz w:val="32"/>
          <w:szCs w:val="32"/>
        </w:rPr>
        <w:t>改革试点工作动态评估机制。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3064913"/>
    </w:sdtPr>
    <w:sdtContent>
      <w:p>
        <w:pPr>
          <w:pStyle w:val="10"/>
          <w:jc w:val="center"/>
        </w:pPr>
        <w:r>
          <w:fldChar w:fldCharType="begin"/>
        </w:r>
        <w:r>
          <w:instrText xml:space="preserve">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708903"/>
    </w:sdtPr>
    <w:sdtContent>
      <w:p>
        <w:pPr>
          <w:pStyle w:val="10"/>
          <w:jc w:val="center"/>
        </w:pPr>
        <w:r>
          <w:rPr>
            <w:lang w:val="zh-CN"/>
          </w:rPr>
          <w:fldChar w:fldCharType="begin"/>
        </w:r>
        <w:r>
          <w:rPr>
            <w:lang w:val="zh-CN"/>
          </w:rPr>
          <w:instrText xml:space="preserve">PAGE   \* MERGEFORMAT</w:instrText>
        </w:r>
        <w:r>
          <w:rPr>
            <w:lang w:val="zh-CN"/>
          </w:rPr>
          <w:fldChar w:fldCharType="separate"/>
        </w:r>
        <w:r>
          <w:rPr>
            <w:lang w:val="zh-CN"/>
          </w:rPr>
          <w:t>18</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6F6"/>
    <w:rsid w:val="00014000"/>
    <w:rsid w:val="000179DD"/>
    <w:rsid w:val="00036491"/>
    <w:rsid w:val="000974BB"/>
    <w:rsid w:val="000A0563"/>
    <w:rsid w:val="000A2BDE"/>
    <w:rsid w:val="000A35B6"/>
    <w:rsid w:val="000A4A10"/>
    <w:rsid w:val="000A4F3A"/>
    <w:rsid w:val="000B7257"/>
    <w:rsid w:val="000C2EB4"/>
    <w:rsid w:val="000D1914"/>
    <w:rsid w:val="000D5A39"/>
    <w:rsid w:val="000D7F64"/>
    <w:rsid w:val="000E0D30"/>
    <w:rsid w:val="000F1CAF"/>
    <w:rsid w:val="000F462A"/>
    <w:rsid w:val="001007D7"/>
    <w:rsid w:val="001008A2"/>
    <w:rsid w:val="001054F9"/>
    <w:rsid w:val="00113F10"/>
    <w:rsid w:val="0011488A"/>
    <w:rsid w:val="00120449"/>
    <w:rsid w:val="00123B5A"/>
    <w:rsid w:val="00126F19"/>
    <w:rsid w:val="001348DA"/>
    <w:rsid w:val="0013750C"/>
    <w:rsid w:val="001471D3"/>
    <w:rsid w:val="00147AAB"/>
    <w:rsid w:val="00157E3A"/>
    <w:rsid w:val="0016189D"/>
    <w:rsid w:val="00162231"/>
    <w:rsid w:val="0019046A"/>
    <w:rsid w:val="001917D0"/>
    <w:rsid w:val="001B6AF2"/>
    <w:rsid w:val="001C180D"/>
    <w:rsid w:val="001C7D90"/>
    <w:rsid w:val="001D38A5"/>
    <w:rsid w:val="001D660D"/>
    <w:rsid w:val="001F07C6"/>
    <w:rsid w:val="001F735F"/>
    <w:rsid w:val="00201C68"/>
    <w:rsid w:val="00205799"/>
    <w:rsid w:val="00206632"/>
    <w:rsid w:val="00222F08"/>
    <w:rsid w:val="00226B07"/>
    <w:rsid w:val="00251F3A"/>
    <w:rsid w:val="00253A38"/>
    <w:rsid w:val="00254CB8"/>
    <w:rsid w:val="00263E34"/>
    <w:rsid w:val="00280488"/>
    <w:rsid w:val="00293C7D"/>
    <w:rsid w:val="00295BD1"/>
    <w:rsid w:val="002B327F"/>
    <w:rsid w:val="002B46AD"/>
    <w:rsid w:val="002B555A"/>
    <w:rsid w:val="002B7272"/>
    <w:rsid w:val="002C7A78"/>
    <w:rsid w:val="002F40DD"/>
    <w:rsid w:val="002F6531"/>
    <w:rsid w:val="003122DA"/>
    <w:rsid w:val="00312697"/>
    <w:rsid w:val="003176F6"/>
    <w:rsid w:val="003224CF"/>
    <w:rsid w:val="00327720"/>
    <w:rsid w:val="0033054C"/>
    <w:rsid w:val="00333086"/>
    <w:rsid w:val="00366A4E"/>
    <w:rsid w:val="003675C9"/>
    <w:rsid w:val="00367616"/>
    <w:rsid w:val="003714F8"/>
    <w:rsid w:val="00382B41"/>
    <w:rsid w:val="003831E9"/>
    <w:rsid w:val="003862A5"/>
    <w:rsid w:val="00396071"/>
    <w:rsid w:val="003A7CFC"/>
    <w:rsid w:val="003B61F1"/>
    <w:rsid w:val="003C2AB4"/>
    <w:rsid w:val="003C7BA4"/>
    <w:rsid w:val="003D5962"/>
    <w:rsid w:val="003E02AB"/>
    <w:rsid w:val="003E1A30"/>
    <w:rsid w:val="003E3BE7"/>
    <w:rsid w:val="003E48CE"/>
    <w:rsid w:val="003F2A5B"/>
    <w:rsid w:val="0040520A"/>
    <w:rsid w:val="0040602F"/>
    <w:rsid w:val="00413E07"/>
    <w:rsid w:val="00417B00"/>
    <w:rsid w:val="004314D5"/>
    <w:rsid w:val="004447F4"/>
    <w:rsid w:val="004479C2"/>
    <w:rsid w:val="0047028E"/>
    <w:rsid w:val="00474A05"/>
    <w:rsid w:val="00480A3B"/>
    <w:rsid w:val="00492BF4"/>
    <w:rsid w:val="00496E38"/>
    <w:rsid w:val="004A0571"/>
    <w:rsid w:val="004C1701"/>
    <w:rsid w:val="004C1898"/>
    <w:rsid w:val="004D0A88"/>
    <w:rsid w:val="004D14D2"/>
    <w:rsid w:val="004D6D32"/>
    <w:rsid w:val="004E172E"/>
    <w:rsid w:val="004F281A"/>
    <w:rsid w:val="004F3C41"/>
    <w:rsid w:val="004F4523"/>
    <w:rsid w:val="004F49AB"/>
    <w:rsid w:val="0050687E"/>
    <w:rsid w:val="00524656"/>
    <w:rsid w:val="0054686E"/>
    <w:rsid w:val="005643C5"/>
    <w:rsid w:val="005654C2"/>
    <w:rsid w:val="00565711"/>
    <w:rsid w:val="005745E8"/>
    <w:rsid w:val="005755A5"/>
    <w:rsid w:val="00576DBB"/>
    <w:rsid w:val="00594123"/>
    <w:rsid w:val="005A007B"/>
    <w:rsid w:val="005A0E2F"/>
    <w:rsid w:val="005A30AD"/>
    <w:rsid w:val="005A60AB"/>
    <w:rsid w:val="005B4472"/>
    <w:rsid w:val="005C3B96"/>
    <w:rsid w:val="005D0686"/>
    <w:rsid w:val="005D0F6B"/>
    <w:rsid w:val="005D653B"/>
    <w:rsid w:val="005D799C"/>
    <w:rsid w:val="005E46E2"/>
    <w:rsid w:val="00617E0F"/>
    <w:rsid w:val="006323FF"/>
    <w:rsid w:val="00632611"/>
    <w:rsid w:val="00645BC8"/>
    <w:rsid w:val="006479D6"/>
    <w:rsid w:val="00647E40"/>
    <w:rsid w:val="00650371"/>
    <w:rsid w:val="0065537E"/>
    <w:rsid w:val="006559FA"/>
    <w:rsid w:val="00656929"/>
    <w:rsid w:val="006877C1"/>
    <w:rsid w:val="00694AAA"/>
    <w:rsid w:val="00695BE6"/>
    <w:rsid w:val="006962AF"/>
    <w:rsid w:val="00696B66"/>
    <w:rsid w:val="006A6052"/>
    <w:rsid w:val="006A7621"/>
    <w:rsid w:val="006A7D97"/>
    <w:rsid w:val="006C0022"/>
    <w:rsid w:val="006C60C9"/>
    <w:rsid w:val="006D02AE"/>
    <w:rsid w:val="006D0316"/>
    <w:rsid w:val="006E1C08"/>
    <w:rsid w:val="00703611"/>
    <w:rsid w:val="00704D57"/>
    <w:rsid w:val="00740885"/>
    <w:rsid w:val="00746694"/>
    <w:rsid w:val="00751A42"/>
    <w:rsid w:val="007561AC"/>
    <w:rsid w:val="007605E6"/>
    <w:rsid w:val="00761C9E"/>
    <w:rsid w:val="00763222"/>
    <w:rsid w:val="00764DA3"/>
    <w:rsid w:val="0077681D"/>
    <w:rsid w:val="007818DE"/>
    <w:rsid w:val="007945AD"/>
    <w:rsid w:val="007A0A51"/>
    <w:rsid w:val="007A4668"/>
    <w:rsid w:val="007D1699"/>
    <w:rsid w:val="007D2C96"/>
    <w:rsid w:val="007D520B"/>
    <w:rsid w:val="007D6A25"/>
    <w:rsid w:val="007D6E63"/>
    <w:rsid w:val="007E0C15"/>
    <w:rsid w:val="007E1730"/>
    <w:rsid w:val="007E5286"/>
    <w:rsid w:val="00801BCA"/>
    <w:rsid w:val="0081042B"/>
    <w:rsid w:val="008106E9"/>
    <w:rsid w:val="00814640"/>
    <w:rsid w:val="00814B31"/>
    <w:rsid w:val="00815215"/>
    <w:rsid w:val="00825686"/>
    <w:rsid w:val="00831826"/>
    <w:rsid w:val="00845555"/>
    <w:rsid w:val="00854F7F"/>
    <w:rsid w:val="0085604A"/>
    <w:rsid w:val="00864B97"/>
    <w:rsid w:val="008668C4"/>
    <w:rsid w:val="00866CBE"/>
    <w:rsid w:val="008719B2"/>
    <w:rsid w:val="00894DC8"/>
    <w:rsid w:val="008A2AA9"/>
    <w:rsid w:val="008D267B"/>
    <w:rsid w:val="008D7C04"/>
    <w:rsid w:val="008E4DF0"/>
    <w:rsid w:val="008F72BD"/>
    <w:rsid w:val="009122CA"/>
    <w:rsid w:val="00912F12"/>
    <w:rsid w:val="00914EE5"/>
    <w:rsid w:val="00923358"/>
    <w:rsid w:val="00924025"/>
    <w:rsid w:val="00930AD7"/>
    <w:rsid w:val="0093298A"/>
    <w:rsid w:val="00932D20"/>
    <w:rsid w:val="00960C05"/>
    <w:rsid w:val="00964B3A"/>
    <w:rsid w:val="0097025F"/>
    <w:rsid w:val="009831D9"/>
    <w:rsid w:val="00994D12"/>
    <w:rsid w:val="009A25B3"/>
    <w:rsid w:val="009B1D74"/>
    <w:rsid w:val="009B7A93"/>
    <w:rsid w:val="009B7E4D"/>
    <w:rsid w:val="009E552F"/>
    <w:rsid w:val="00A02659"/>
    <w:rsid w:val="00A03874"/>
    <w:rsid w:val="00A05642"/>
    <w:rsid w:val="00A05DAA"/>
    <w:rsid w:val="00A15999"/>
    <w:rsid w:val="00A17D8A"/>
    <w:rsid w:val="00A202CE"/>
    <w:rsid w:val="00A60F40"/>
    <w:rsid w:val="00A62EFC"/>
    <w:rsid w:val="00A67219"/>
    <w:rsid w:val="00A724C0"/>
    <w:rsid w:val="00A8455D"/>
    <w:rsid w:val="00A85318"/>
    <w:rsid w:val="00A93210"/>
    <w:rsid w:val="00AA08DA"/>
    <w:rsid w:val="00AA23E6"/>
    <w:rsid w:val="00AA3444"/>
    <w:rsid w:val="00AA4428"/>
    <w:rsid w:val="00AA76CB"/>
    <w:rsid w:val="00AC2A90"/>
    <w:rsid w:val="00AD0F6E"/>
    <w:rsid w:val="00AD1BE2"/>
    <w:rsid w:val="00AD6A8D"/>
    <w:rsid w:val="00AE43C3"/>
    <w:rsid w:val="00AE5E92"/>
    <w:rsid w:val="00AE76C5"/>
    <w:rsid w:val="00AF28BC"/>
    <w:rsid w:val="00B07E30"/>
    <w:rsid w:val="00B160D1"/>
    <w:rsid w:val="00B17216"/>
    <w:rsid w:val="00B32D05"/>
    <w:rsid w:val="00B3307D"/>
    <w:rsid w:val="00B527F0"/>
    <w:rsid w:val="00B6104A"/>
    <w:rsid w:val="00B94979"/>
    <w:rsid w:val="00BA5B7F"/>
    <w:rsid w:val="00BB1CEA"/>
    <w:rsid w:val="00BB66F0"/>
    <w:rsid w:val="00BC528A"/>
    <w:rsid w:val="00BC5B7C"/>
    <w:rsid w:val="00BE753E"/>
    <w:rsid w:val="00BF19CE"/>
    <w:rsid w:val="00C058F1"/>
    <w:rsid w:val="00C1744B"/>
    <w:rsid w:val="00C42922"/>
    <w:rsid w:val="00C4588D"/>
    <w:rsid w:val="00C45DFA"/>
    <w:rsid w:val="00C51C63"/>
    <w:rsid w:val="00CA25A3"/>
    <w:rsid w:val="00CB0AC3"/>
    <w:rsid w:val="00CB18BE"/>
    <w:rsid w:val="00CB238F"/>
    <w:rsid w:val="00CB3E01"/>
    <w:rsid w:val="00CB5BDF"/>
    <w:rsid w:val="00CB7025"/>
    <w:rsid w:val="00CC4FC3"/>
    <w:rsid w:val="00CD1D3A"/>
    <w:rsid w:val="00CD306A"/>
    <w:rsid w:val="00CD5188"/>
    <w:rsid w:val="00CF10CE"/>
    <w:rsid w:val="00CF3604"/>
    <w:rsid w:val="00CF3B7B"/>
    <w:rsid w:val="00CF6A13"/>
    <w:rsid w:val="00D04996"/>
    <w:rsid w:val="00D16E9C"/>
    <w:rsid w:val="00D22185"/>
    <w:rsid w:val="00D237D2"/>
    <w:rsid w:val="00D3327E"/>
    <w:rsid w:val="00D35C0B"/>
    <w:rsid w:val="00D3750A"/>
    <w:rsid w:val="00D631C3"/>
    <w:rsid w:val="00D81335"/>
    <w:rsid w:val="00D83CA7"/>
    <w:rsid w:val="00D84F9A"/>
    <w:rsid w:val="00D931F3"/>
    <w:rsid w:val="00DA1AE5"/>
    <w:rsid w:val="00DB07AF"/>
    <w:rsid w:val="00DC1E5A"/>
    <w:rsid w:val="00DC686D"/>
    <w:rsid w:val="00DD26F5"/>
    <w:rsid w:val="00DD3ACD"/>
    <w:rsid w:val="00DD7DEC"/>
    <w:rsid w:val="00DE4BA1"/>
    <w:rsid w:val="00DF4518"/>
    <w:rsid w:val="00E015DF"/>
    <w:rsid w:val="00E01F9F"/>
    <w:rsid w:val="00E05CCD"/>
    <w:rsid w:val="00E0692B"/>
    <w:rsid w:val="00E10AD5"/>
    <w:rsid w:val="00E11C0E"/>
    <w:rsid w:val="00E163B7"/>
    <w:rsid w:val="00E16EDD"/>
    <w:rsid w:val="00E201F7"/>
    <w:rsid w:val="00E20E83"/>
    <w:rsid w:val="00E23033"/>
    <w:rsid w:val="00E2415F"/>
    <w:rsid w:val="00E3765A"/>
    <w:rsid w:val="00E5713C"/>
    <w:rsid w:val="00E61E77"/>
    <w:rsid w:val="00E65D44"/>
    <w:rsid w:val="00E65D91"/>
    <w:rsid w:val="00E70AA2"/>
    <w:rsid w:val="00E87646"/>
    <w:rsid w:val="00E877BB"/>
    <w:rsid w:val="00ED3010"/>
    <w:rsid w:val="00EF2420"/>
    <w:rsid w:val="00F01881"/>
    <w:rsid w:val="00F22EBB"/>
    <w:rsid w:val="00F335FF"/>
    <w:rsid w:val="00F40137"/>
    <w:rsid w:val="00F40931"/>
    <w:rsid w:val="00F43A66"/>
    <w:rsid w:val="00F45057"/>
    <w:rsid w:val="00F50F6C"/>
    <w:rsid w:val="00F54E9D"/>
    <w:rsid w:val="00F54F97"/>
    <w:rsid w:val="00F6310A"/>
    <w:rsid w:val="00F67921"/>
    <w:rsid w:val="00F85909"/>
    <w:rsid w:val="00F974B6"/>
    <w:rsid w:val="00FA545C"/>
    <w:rsid w:val="00FA59ED"/>
    <w:rsid w:val="00FA6A14"/>
    <w:rsid w:val="00FB3505"/>
    <w:rsid w:val="00FB6C7A"/>
    <w:rsid w:val="00FD4550"/>
    <w:rsid w:val="052C5281"/>
    <w:rsid w:val="4258641E"/>
    <w:rsid w:val="7F640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31"/>
    <w:unhideWhenUsed/>
    <w:qFormat/>
    <w:uiPriority w:val="99"/>
    <w:pPr>
      <w:jc w:val="left"/>
    </w:pPr>
  </w:style>
  <w:style w:type="paragraph" w:styleId="6">
    <w:name w:val="Body Text Indent"/>
    <w:basedOn w:val="1"/>
    <w:link w:val="22"/>
    <w:qFormat/>
    <w:uiPriority w:val="0"/>
    <w:pPr>
      <w:ind w:firstLine="900" w:firstLineChars="300"/>
    </w:pPr>
    <w:rPr>
      <w:rFonts w:ascii="Times New Roman" w:hAnsi="Times New Roman" w:eastAsia="宋体" w:cs="Times New Roman"/>
      <w:sz w:val="30"/>
      <w:szCs w:val="24"/>
    </w:rPr>
  </w:style>
  <w:style w:type="paragraph" w:styleId="7">
    <w:name w:val="toc 3"/>
    <w:basedOn w:val="1"/>
    <w:next w:val="1"/>
    <w:unhideWhenUsed/>
    <w:qFormat/>
    <w:uiPriority w:val="39"/>
    <w:pPr>
      <w:ind w:left="840" w:leftChars="400"/>
    </w:pPr>
  </w:style>
  <w:style w:type="paragraph" w:styleId="8">
    <w:name w:val="Date"/>
    <w:basedOn w:val="1"/>
    <w:next w:val="1"/>
    <w:link w:val="29"/>
    <w:unhideWhenUsed/>
    <w:qFormat/>
    <w:uiPriority w:val="99"/>
    <w:pPr>
      <w:ind w:left="100" w:leftChars="2500"/>
    </w:pPr>
  </w:style>
  <w:style w:type="paragraph" w:styleId="9">
    <w:name w:val="Balloon Text"/>
    <w:basedOn w:val="1"/>
    <w:link w:val="26"/>
    <w:unhideWhenUsed/>
    <w:qFormat/>
    <w:uiPriority w:val="99"/>
    <w:rPr>
      <w:sz w:val="18"/>
      <w:szCs w:val="18"/>
    </w:rPr>
  </w:style>
  <w:style w:type="paragraph" w:styleId="10">
    <w:name w:val="footer"/>
    <w:basedOn w:val="1"/>
    <w:link w:val="28"/>
    <w:unhideWhenUsed/>
    <w:qFormat/>
    <w:uiPriority w:val="99"/>
    <w:pPr>
      <w:tabs>
        <w:tab w:val="center" w:pos="4153"/>
        <w:tab w:val="right" w:pos="8306"/>
      </w:tabs>
      <w:snapToGrid w:val="0"/>
      <w:jc w:val="left"/>
    </w:pPr>
    <w:rPr>
      <w:sz w:val="18"/>
      <w:szCs w:val="18"/>
    </w:rPr>
  </w:style>
  <w:style w:type="paragraph" w:styleId="11">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6"/>
      </w:tabs>
    </w:pPr>
  </w:style>
  <w:style w:type="paragraph" w:styleId="13">
    <w:name w:val="toc 2"/>
    <w:basedOn w:val="1"/>
    <w:next w:val="1"/>
    <w:unhideWhenUsed/>
    <w:qFormat/>
    <w:uiPriority w:val="39"/>
    <w:pPr>
      <w:ind w:left="420" w:leftChars="200"/>
    </w:p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5"/>
    <w:next w:val="5"/>
    <w:link w:val="32"/>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styleId="20">
    <w:name w:val="annotation reference"/>
    <w:basedOn w:val="18"/>
    <w:unhideWhenUsed/>
    <w:qFormat/>
    <w:uiPriority w:val="99"/>
    <w:rPr>
      <w:sz w:val="21"/>
      <w:szCs w:val="21"/>
    </w:rPr>
  </w:style>
  <w:style w:type="paragraph" w:customStyle="1" w:styleId="21">
    <w:name w:val="列出段落1"/>
    <w:basedOn w:val="1"/>
    <w:qFormat/>
    <w:uiPriority w:val="34"/>
    <w:pPr>
      <w:ind w:firstLine="420" w:firstLineChars="200"/>
    </w:pPr>
  </w:style>
  <w:style w:type="character" w:customStyle="1" w:styleId="22">
    <w:name w:val="正文文本缩进 字符"/>
    <w:basedOn w:val="18"/>
    <w:link w:val="6"/>
    <w:qFormat/>
    <w:uiPriority w:val="0"/>
    <w:rPr>
      <w:rFonts w:ascii="Times New Roman" w:hAnsi="Times New Roman" w:eastAsia="宋体" w:cs="Times New Roman"/>
      <w:sz w:val="30"/>
      <w:szCs w:val="24"/>
    </w:rPr>
  </w:style>
  <w:style w:type="character" w:customStyle="1" w:styleId="23">
    <w:name w:val="标题 1 字符"/>
    <w:basedOn w:val="18"/>
    <w:link w:val="2"/>
    <w:qFormat/>
    <w:uiPriority w:val="9"/>
    <w:rPr>
      <w:b/>
      <w:bCs/>
      <w:kern w:val="44"/>
      <w:sz w:val="44"/>
      <w:szCs w:val="44"/>
    </w:rPr>
  </w:style>
  <w:style w:type="character" w:customStyle="1" w:styleId="24">
    <w:name w:val="标题 2 字符"/>
    <w:basedOn w:val="18"/>
    <w:link w:val="3"/>
    <w:qFormat/>
    <w:uiPriority w:val="9"/>
    <w:rPr>
      <w:rFonts w:asciiTheme="majorHAnsi" w:hAnsiTheme="majorHAnsi" w:eastAsiaTheme="majorEastAsia" w:cstheme="majorBidi"/>
      <w:b/>
      <w:bCs/>
      <w:sz w:val="32"/>
      <w:szCs w:val="32"/>
    </w:r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8"/>
    <w:link w:val="9"/>
    <w:semiHidden/>
    <w:qFormat/>
    <w:uiPriority w:val="99"/>
    <w:rPr>
      <w:sz w:val="18"/>
      <w:szCs w:val="18"/>
    </w:rPr>
  </w:style>
  <w:style w:type="character" w:customStyle="1" w:styleId="27">
    <w:name w:val="页眉 字符"/>
    <w:basedOn w:val="18"/>
    <w:link w:val="11"/>
    <w:qFormat/>
    <w:uiPriority w:val="99"/>
    <w:rPr>
      <w:sz w:val="18"/>
      <w:szCs w:val="18"/>
    </w:rPr>
  </w:style>
  <w:style w:type="character" w:customStyle="1" w:styleId="28">
    <w:name w:val="页脚 字符"/>
    <w:basedOn w:val="18"/>
    <w:link w:val="10"/>
    <w:qFormat/>
    <w:uiPriority w:val="99"/>
    <w:rPr>
      <w:sz w:val="18"/>
      <w:szCs w:val="18"/>
    </w:rPr>
  </w:style>
  <w:style w:type="character" w:customStyle="1" w:styleId="29">
    <w:name w:val="日期 字符"/>
    <w:basedOn w:val="18"/>
    <w:link w:val="8"/>
    <w:semiHidden/>
    <w:qFormat/>
    <w:uiPriority w:val="99"/>
  </w:style>
  <w:style w:type="character" w:customStyle="1" w:styleId="30">
    <w:name w:val="标题 3 字符"/>
    <w:basedOn w:val="18"/>
    <w:link w:val="4"/>
    <w:qFormat/>
    <w:uiPriority w:val="9"/>
    <w:rPr>
      <w:b/>
      <w:bCs/>
      <w:sz w:val="32"/>
      <w:szCs w:val="32"/>
    </w:rPr>
  </w:style>
  <w:style w:type="character" w:customStyle="1" w:styleId="31">
    <w:name w:val="批注文字 字符"/>
    <w:basedOn w:val="18"/>
    <w:link w:val="5"/>
    <w:semiHidden/>
    <w:qFormat/>
    <w:uiPriority w:val="99"/>
  </w:style>
  <w:style w:type="character" w:customStyle="1" w:styleId="32">
    <w:name w:val="批注主题 字符"/>
    <w:basedOn w:val="31"/>
    <w:link w:val="15"/>
    <w:semiHidden/>
    <w:qFormat/>
    <w:uiPriority w:val="99"/>
    <w:rPr>
      <w:b/>
      <w:bCs/>
    </w:rPr>
  </w:style>
  <w:style w:type="paragraph" w:customStyle="1" w:styleId="33">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7B1DC0-43EC-4961-97A5-F147FCE10A13}">
  <ds:schemaRefs/>
</ds:datastoreItem>
</file>

<file path=docProps/app.xml><?xml version="1.0" encoding="utf-8"?>
<Properties xmlns="http://schemas.openxmlformats.org/officeDocument/2006/extended-properties" xmlns:vt="http://schemas.openxmlformats.org/officeDocument/2006/docPropsVTypes">
  <Template>Normal</Template>
  <Pages>65</Pages>
  <Words>5023</Words>
  <Characters>28637</Characters>
  <Lines>238</Lines>
  <Paragraphs>67</Paragraphs>
  <TotalTime>19</TotalTime>
  <ScaleCrop>false</ScaleCrop>
  <LinksUpToDate>false</LinksUpToDate>
  <CharactersWithSpaces>33593</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2019-04-27T15:24:00Z</dcterms:created>
  <dc:creator>zx</dc:creator>
  <cp:lastModifiedBy>夏天</cp:lastModifiedBy>
  <dcterms:modified xsi:type="dcterms:W3CDTF">2019-04-29T09:02:23Z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